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b/>
          <w:bCs w:val="0"/>
          <w:color w:val="auto"/>
          <w:sz w:val="32"/>
          <w:szCs w:val="32"/>
          <w:highlight w:val="none"/>
        </w:rPr>
      </w:pPr>
      <w:r>
        <w:rPr>
          <w:rFonts w:hint="eastAsia" w:ascii="宋体" w:hAnsi="宋体"/>
          <w:b/>
          <w:color w:val="auto"/>
          <w:sz w:val="32"/>
          <w:szCs w:val="32"/>
          <w:highlight w:val="none"/>
        </w:rPr>
        <w:t>东莞农村商业银行</w:t>
      </w:r>
      <w:r>
        <w:rPr>
          <w:rFonts w:hint="eastAsia" w:ascii="宋体" w:hAnsi="宋体"/>
          <w:b/>
          <w:bCs w:val="0"/>
          <w:color w:val="auto"/>
          <w:sz w:val="32"/>
          <w:szCs w:val="32"/>
          <w:highlight w:val="none"/>
          <w:lang w:val="en-US" w:eastAsia="zh-CN"/>
        </w:rPr>
        <w:t>文档服务系统</w:t>
      </w:r>
      <w:r>
        <w:rPr>
          <w:rFonts w:hint="eastAsia" w:ascii="宋体" w:hAnsi="宋体"/>
          <w:b/>
          <w:bCs w:val="0"/>
          <w:color w:val="auto"/>
          <w:sz w:val="32"/>
          <w:szCs w:val="32"/>
          <w:highlight w:val="none"/>
        </w:rPr>
        <w:t>建设项目</w:t>
      </w:r>
    </w:p>
    <w:p>
      <w:pPr>
        <w:jc w:val="center"/>
        <w:outlineLvl w:val="0"/>
        <w:rPr>
          <w:rFonts w:ascii="宋体" w:hAnsi="宋体"/>
          <w:b/>
          <w:color w:val="auto"/>
          <w:sz w:val="32"/>
          <w:szCs w:val="32"/>
          <w:highlight w:val="none"/>
        </w:rPr>
      </w:pPr>
      <w:r>
        <w:rPr>
          <w:rFonts w:hint="eastAsia" w:ascii="宋体" w:hAnsi="宋体"/>
          <w:b/>
          <w:color w:val="auto"/>
          <w:sz w:val="32"/>
          <w:szCs w:val="32"/>
          <w:highlight w:val="none"/>
        </w:rPr>
        <w:t>市场调研项目需求</w:t>
      </w:r>
    </w:p>
    <w:p>
      <w:pPr>
        <w:spacing w:line="360" w:lineRule="auto"/>
        <w:rPr>
          <w:rFonts w:ascii="宋体" w:hAnsi="宋体"/>
          <w:b/>
          <w:color w:val="auto"/>
          <w:szCs w:val="21"/>
          <w:highlight w:val="none"/>
        </w:rPr>
      </w:pPr>
    </w:p>
    <w:p>
      <w:pPr>
        <w:spacing w:line="360" w:lineRule="auto"/>
        <w:outlineLvl w:val="0"/>
        <w:rPr>
          <w:rFonts w:ascii="宋体" w:hAnsi="宋体"/>
          <w:b/>
          <w:color w:val="auto"/>
          <w:szCs w:val="21"/>
          <w:highlight w:val="none"/>
        </w:rPr>
      </w:pPr>
      <w:r>
        <w:rPr>
          <w:rFonts w:hint="eastAsia" w:ascii="宋体" w:hAnsi="宋体"/>
          <w:b/>
          <w:color w:val="auto"/>
          <w:szCs w:val="21"/>
          <w:highlight w:val="none"/>
        </w:rPr>
        <w:t>一、项目信息</w:t>
      </w:r>
    </w:p>
    <w:p>
      <w:pPr>
        <w:widowControl/>
        <w:spacing w:line="360" w:lineRule="auto"/>
        <w:ind w:firstLine="420" w:firstLineChars="200"/>
        <w:rPr>
          <w:rFonts w:cs="仿宋_GB2312" w:asciiTheme="minorEastAsia" w:hAnsiTheme="minorEastAsia" w:eastAsiaTheme="minorEastAsia"/>
          <w:bCs/>
          <w:color w:val="auto"/>
          <w:szCs w:val="21"/>
          <w:highlight w:val="none"/>
        </w:rPr>
      </w:pPr>
      <w:r>
        <w:rPr>
          <w:rFonts w:cs="仿宋_GB2312" w:asciiTheme="minorEastAsia" w:hAnsiTheme="minorEastAsia" w:eastAsiaTheme="minorEastAsia"/>
          <w:bCs/>
          <w:color w:val="auto"/>
          <w:szCs w:val="21"/>
          <w:highlight w:val="none"/>
        </w:rPr>
        <w:t>项目名称：</w:t>
      </w:r>
      <w:r>
        <w:rPr>
          <w:rFonts w:hint="eastAsia" w:cs="仿宋_GB2312" w:asciiTheme="minorEastAsia" w:hAnsiTheme="minorEastAsia" w:eastAsiaTheme="minorEastAsia"/>
          <w:bCs/>
          <w:color w:val="auto"/>
          <w:szCs w:val="21"/>
          <w:highlight w:val="none"/>
        </w:rPr>
        <w:t>东莞农村商业银行</w:t>
      </w:r>
      <w:r>
        <w:rPr>
          <w:rFonts w:hint="eastAsia" w:cs="仿宋_GB2312" w:asciiTheme="minorEastAsia" w:hAnsiTheme="minorEastAsia"/>
          <w:bCs/>
          <w:color w:val="auto"/>
          <w:szCs w:val="21"/>
          <w:highlight w:val="none"/>
          <w:lang w:val="en-US" w:eastAsia="zh-CN"/>
        </w:rPr>
        <w:t>文档服务系统</w:t>
      </w:r>
      <w:r>
        <w:rPr>
          <w:rFonts w:hint="eastAsia" w:cs="仿宋_GB2312" w:asciiTheme="minorEastAsia" w:hAnsiTheme="minorEastAsia" w:eastAsiaTheme="minorEastAsia"/>
          <w:b w:val="0"/>
          <w:bCs/>
          <w:color w:val="auto"/>
          <w:sz w:val="21"/>
          <w:szCs w:val="21"/>
          <w:highlight w:val="none"/>
        </w:rPr>
        <w:t>建设项目</w:t>
      </w:r>
    </w:p>
    <w:p>
      <w:pPr>
        <w:widowControl/>
        <w:spacing w:line="360" w:lineRule="auto"/>
        <w:ind w:firstLine="420" w:firstLineChars="200"/>
        <w:rPr>
          <w:rFonts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rPr>
        <w:t>招标人：东莞农村商业银行股份有限公司</w:t>
      </w:r>
    </w:p>
    <w:p>
      <w:pPr>
        <w:widowControl/>
        <w:spacing w:line="360" w:lineRule="auto"/>
        <w:ind w:firstLine="420" w:firstLineChars="200"/>
        <w:rPr>
          <w:rFonts w:cs="仿宋_GB2312" w:asciiTheme="minorEastAsia" w:hAnsiTheme="minorEastAsia" w:eastAsiaTheme="minorEastAsia"/>
          <w:bCs/>
          <w:color w:val="auto"/>
          <w:szCs w:val="21"/>
          <w:highlight w:val="none"/>
        </w:rPr>
      </w:pPr>
      <w:r>
        <w:rPr>
          <w:rFonts w:cs="仿宋_GB2312" w:asciiTheme="minorEastAsia" w:hAnsiTheme="minorEastAsia" w:eastAsiaTheme="minorEastAsia"/>
          <w:bCs/>
          <w:color w:val="auto"/>
          <w:szCs w:val="21"/>
          <w:highlight w:val="none"/>
        </w:rPr>
        <w:t>项目</w:t>
      </w:r>
      <w:r>
        <w:rPr>
          <w:rFonts w:hint="eastAsia" w:cs="仿宋_GB2312" w:asciiTheme="minorEastAsia" w:hAnsiTheme="minorEastAsia" w:eastAsiaTheme="minorEastAsia"/>
          <w:bCs/>
          <w:color w:val="auto"/>
          <w:szCs w:val="21"/>
          <w:highlight w:val="none"/>
        </w:rPr>
        <w:t>概算</w:t>
      </w:r>
      <w:r>
        <w:rPr>
          <w:rFonts w:cs="仿宋_GB2312" w:asciiTheme="minorEastAsia" w:hAnsiTheme="minorEastAsia" w:eastAsiaTheme="minorEastAsia"/>
          <w:bCs/>
          <w:color w:val="auto"/>
          <w:szCs w:val="21"/>
          <w:highlight w:val="none"/>
        </w:rPr>
        <w:t>：</w:t>
      </w:r>
      <w:r>
        <w:rPr>
          <w:rFonts w:hint="eastAsia" w:cs="仿宋_GB2312" w:asciiTheme="minorEastAsia" w:hAnsiTheme="minorEastAsia" w:eastAsiaTheme="minorEastAsia"/>
          <w:bCs/>
          <w:color w:val="auto"/>
          <w:szCs w:val="21"/>
          <w:highlight w:val="none"/>
          <w:lang w:val="en-US" w:eastAsia="zh-CN"/>
        </w:rPr>
        <w:t>待定。</w:t>
      </w:r>
    </w:p>
    <w:p>
      <w:pPr>
        <w:widowControl/>
        <w:spacing w:line="360" w:lineRule="auto"/>
        <w:ind w:firstLine="420" w:firstLineChars="200"/>
        <w:rPr>
          <w:rFonts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rPr>
        <w:t>项目预计采购时间：202</w:t>
      </w:r>
      <w:r>
        <w:rPr>
          <w:rFonts w:hint="eastAsia" w:cs="仿宋_GB2312" w:asciiTheme="minorEastAsia" w:hAnsiTheme="minorEastAsia"/>
          <w:bCs/>
          <w:color w:val="auto"/>
          <w:szCs w:val="21"/>
          <w:highlight w:val="none"/>
          <w:lang w:val="en-US" w:eastAsia="zh-CN"/>
        </w:rPr>
        <w:t>6</w:t>
      </w:r>
      <w:r>
        <w:rPr>
          <w:rFonts w:hint="eastAsia" w:cs="仿宋_GB2312" w:asciiTheme="minorEastAsia" w:hAnsiTheme="minorEastAsia" w:eastAsiaTheme="minorEastAsia"/>
          <w:bCs/>
          <w:color w:val="auto"/>
          <w:szCs w:val="21"/>
          <w:highlight w:val="none"/>
        </w:rPr>
        <w:t>年</w:t>
      </w:r>
      <w:r>
        <w:rPr>
          <w:rFonts w:hint="eastAsia" w:cs="仿宋_GB2312" w:asciiTheme="minorEastAsia" w:hAnsiTheme="minorEastAsia"/>
          <w:bCs/>
          <w:color w:val="auto"/>
          <w:szCs w:val="21"/>
          <w:highlight w:val="none"/>
          <w:lang w:val="en-US" w:eastAsia="zh-CN"/>
        </w:rPr>
        <w:t>6</w:t>
      </w:r>
      <w:r>
        <w:rPr>
          <w:rFonts w:hint="eastAsia" w:cs="仿宋_GB2312" w:asciiTheme="minorEastAsia" w:hAnsiTheme="minorEastAsia" w:eastAsiaTheme="minorEastAsia"/>
          <w:bCs/>
          <w:color w:val="auto"/>
          <w:szCs w:val="21"/>
          <w:highlight w:val="none"/>
        </w:rPr>
        <w:t>月</w:t>
      </w:r>
    </w:p>
    <w:p>
      <w:pPr>
        <w:widowControl/>
        <w:spacing w:line="360" w:lineRule="auto"/>
        <w:ind w:firstLine="420" w:firstLineChars="200"/>
        <w:rPr>
          <w:rFonts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rPr>
        <w:t>项目工期要求：项目总工期</w:t>
      </w:r>
      <w:r>
        <w:rPr>
          <w:rFonts w:hint="eastAsia" w:cs="仿宋_GB2312" w:asciiTheme="minorEastAsia" w:hAnsiTheme="minorEastAsia"/>
          <w:bCs/>
          <w:color w:val="auto"/>
          <w:szCs w:val="21"/>
          <w:highlight w:val="none"/>
          <w:lang w:val="en-US" w:eastAsia="zh-CN"/>
        </w:rPr>
        <w:t>8</w:t>
      </w:r>
      <w:r>
        <w:rPr>
          <w:rFonts w:hint="eastAsia" w:cs="仿宋_GB2312" w:asciiTheme="minorEastAsia" w:hAnsiTheme="minorEastAsia" w:eastAsiaTheme="minorEastAsia"/>
          <w:bCs/>
          <w:color w:val="auto"/>
          <w:szCs w:val="21"/>
          <w:highlight w:val="none"/>
        </w:rPr>
        <w:t>个月</w:t>
      </w:r>
    </w:p>
    <w:p>
      <w:pPr>
        <w:widowControl/>
        <w:spacing w:line="360" w:lineRule="auto"/>
        <w:ind w:firstLine="420" w:firstLineChars="200"/>
        <w:rPr>
          <w:rFonts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rPr>
        <w:t>维保服务期：项目维护</w:t>
      </w:r>
      <w:r>
        <w:rPr>
          <w:rFonts w:hint="eastAsia" w:cs="仿宋_GB2312" w:asciiTheme="minorEastAsia" w:hAnsiTheme="minorEastAsia"/>
          <w:bCs/>
          <w:color w:val="auto"/>
          <w:szCs w:val="21"/>
          <w:highlight w:val="none"/>
          <w:lang w:val="en-US" w:eastAsia="zh-CN"/>
        </w:rPr>
        <w:t>期3</w:t>
      </w:r>
      <w:r>
        <w:rPr>
          <w:rFonts w:hint="eastAsia" w:cs="仿宋_GB2312" w:asciiTheme="minorEastAsia" w:hAnsiTheme="minorEastAsia" w:eastAsiaTheme="minorEastAsia"/>
          <w:bCs/>
          <w:color w:val="auto"/>
          <w:szCs w:val="21"/>
          <w:highlight w:val="none"/>
        </w:rPr>
        <w:t>年。</w:t>
      </w:r>
    </w:p>
    <w:p>
      <w:pPr>
        <w:widowControl/>
        <w:spacing w:line="360" w:lineRule="auto"/>
        <w:ind w:firstLine="420" w:firstLineChars="200"/>
        <w:rPr>
          <w:rFonts w:cs="仿宋_GB2312" w:asciiTheme="minorEastAsia" w:hAnsiTheme="minorEastAsia" w:eastAsiaTheme="minorEastAsia"/>
          <w:bCs/>
          <w:color w:val="auto"/>
          <w:szCs w:val="21"/>
          <w:highlight w:val="none"/>
        </w:rPr>
      </w:pPr>
      <w:r>
        <w:rPr>
          <w:rFonts w:hint="eastAsia" w:cs="仿宋_GB2312" w:asciiTheme="minorEastAsia" w:hAnsiTheme="minorEastAsia" w:eastAsiaTheme="minorEastAsia"/>
          <w:bCs/>
          <w:color w:val="auto"/>
          <w:szCs w:val="21"/>
          <w:highlight w:val="none"/>
        </w:rPr>
        <w:t>注意：本次公告属于项目市场调研需求，上述项目概算、预计采购时间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spacing w:line="360" w:lineRule="auto"/>
        <w:outlineLvl w:val="0"/>
        <w:rPr>
          <w:rFonts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w:t>
      </w:r>
      <w:r>
        <w:rPr>
          <w:rFonts w:hint="eastAsia" w:ascii="宋体" w:hAnsi="宋体"/>
          <w:b/>
          <w:color w:val="auto"/>
          <w:szCs w:val="21"/>
          <w:highlight w:val="none"/>
        </w:rPr>
        <w:t>项目背景</w:t>
      </w:r>
    </w:p>
    <w:p>
      <w:pPr>
        <w:spacing w:line="360" w:lineRule="auto"/>
        <w:ind w:firstLine="420" w:firstLineChars="200"/>
        <w:rPr>
          <w:rFonts w:ascii="宋体" w:hAnsi="宋体" w:cs="宋体"/>
          <w:color w:val="auto"/>
          <w:szCs w:val="21"/>
          <w:highlight w:val="none"/>
        </w:rPr>
      </w:pPr>
      <w:r>
        <w:rPr>
          <w:rFonts w:hint="eastAsia" w:cs="仿宋_GB2312" w:asciiTheme="minorEastAsia" w:hAnsiTheme="minorEastAsia" w:eastAsiaTheme="minorEastAsia"/>
          <w:bCs/>
          <w:szCs w:val="21"/>
          <w:highlight w:val="none"/>
          <w:lang w:val="en-US" w:eastAsia="zh-CN"/>
        </w:rPr>
        <w:t>东莞农村商业银行是一家具有独立法人资格的总行级地方性股份制商业银行，截至2025年12月底共设有39个一级分支机构，414个网点。</w:t>
      </w:r>
      <w:r>
        <w:rPr>
          <w:rFonts w:hint="eastAsia" w:ascii="宋体" w:hAnsi="宋体" w:cs="宋体"/>
          <w:color w:val="auto"/>
          <w:szCs w:val="21"/>
          <w:highlight w:val="none"/>
        </w:rPr>
        <w:t>为了进一步推动公告方</w:t>
      </w:r>
      <w:r>
        <w:rPr>
          <w:rFonts w:hint="eastAsia" w:ascii="宋体" w:hAnsi="宋体" w:cs="宋体"/>
          <w:color w:val="auto"/>
          <w:szCs w:val="21"/>
          <w:highlight w:val="none"/>
          <w:lang w:val="en-US" w:eastAsia="zh-CN"/>
        </w:rPr>
        <w:t>通过部署WPS文档中台满足应用系统文档在线编辑、在线预览、文档格式转换处理等</w:t>
      </w:r>
      <w:r>
        <w:rPr>
          <w:rFonts w:hint="eastAsia" w:ascii="宋体" w:hAnsi="宋体" w:cs="宋体"/>
          <w:color w:val="auto"/>
          <w:szCs w:val="21"/>
          <w:highlight w:val="none"/>
        </w:rPr>
        <w:t>工作</w:t>
      </w:r>
      <w:r>
        <w:rPr>
          <w:rFonts w:hint="eastAsia" w:ascii="宋体" w:hAnsi="宋体" w:cs="宋体"/>
          <w:color w:val="auto"/>
          <w:szCs w:val="21"/>
          <w:highlight w:val="none"/>
        </w:rPr>
        <w:t>，现开展</w:t>
      </w:r>
      <w:r>
        <w:rPr>
          <w:rFonts w:hint="eastAsia" w:ascii="宋体" w:hAnsi="宋体" w:cs="宋体"/>
          <w:color w:val="auto"/>
          <w:szCs w:val="21"/>
          <w:highlight w:val="none"/>
          <w:lang w:val="en-US" w:eastAsia="zh-CN"/>
        </w:rPr>
        <w:t>文档服务系统</w:t>
      </w:r>
      <w:r>
        <w:rPr>
          <w:rFonts w:hint="eastAsia" w:cs="仿宋_GB2312" w:asciiTheme="minorEastAsia" w:hAnsiTheme="minorEastAsia" w:eastAsiaTheme="minorEastAsia"/>
          <w:b w:val="0"/>
          <w:bCs/>
          <w:color w:val="auto"/>
          <w:sz w:val="21"/>
          <w:szCs w:val="21"/>
          <w:highlight w:val="none"/>
        </w:rPr>
        <w:t>建设项目</w:t>
      </w:r>
      <w:r>
        <w:rPr>
          <w:rFonts w:hint="eastAsia" w:ascii="宋体" w:hAnsi="宋体" w:cs="宋体"/>
          <w:color w:val="auto"/>
          <w:szCs w:val="21"/>
          <w:highlight w:val="none"/>
        </w:rPr>
        <w:t>，</w:t>
      </w:r>
      <w:r>
        <w:rPr>
          <w:rFonts w:hint="eastAsia" w:ascii="宋体" w:hAnsi="宋体"/>
          <w:color w:val="auto"/>
          <w:szCs w:val="21"/>
          <w:highlight w:val="none"/>
        </w:rPr>
        <w:t>欢迎愿意参加本项目市场调研的潜在供应商，提供市场调研资料。</w:t>
      </w:r>
    </w:p>
    <w:p>
      <w:pPr>
        <w:spacing w:line="360" w:lineRule="auto"/>
        <w:outlineLvl w:val="0"/>
        <w:rPr>
          <w:rFonts w:ascii="宋体" w:hAnsi="宋体"/>
          <w:b/>
          <w:bCs/>
          <w:color w:val="auto"/>
          <w:szCs w:val="21"/>
          <w:highlight w:val="none"/>
        </w:rPr>
      </w:pPr>
      <w:r>
        <w:rPr>
          <w:rFonts w:hint="eastAsia" w:ascii="宋体" w:hAnsi="宋体"/>
          <w:b/>
          <w:color w:val="auto"/>
          <w:szCs w:val="21"/>
          <w:highlight w:val="none"/>
        </w:rPr>
        <w:t>三</w:t>
      </w:r>
      <w:r>
        <w:rPr>
          <w:rFonts w:ascii="宋体" w:hAnsi="宋体"/>
          <w:b/>
          <w:color w:val="auto"/>
          <w:szCs w:val="21"/>
          <w:highlight w:val="none"/>
        </w:rPr>
        <w:t>、</w:t>
      </w:r>
      <w:r>
        <w:rPr>
          <w:rFonts w:hint="eastAsia" w:ascii="宋体" w:hAnsi="宋体"/>
          <w:b/>
          <w:bCs/>
          <w:color w:val="auto"/>
          <w:szCs w:val="21"/>
          <w:highlight w:val="none"/>
        </w:rPr>
        <w:t>调研内容</w:t>
      </w:r>
    </w:p>
    <w:p>
      <w:pPr>
        <w:spacing w:line="360" w:lineRule="auto"/>
        <w:ind w:firstLine="422" w:firstLineChars="200"/>
        <w:outlineLvl w:val="1"/>
        <w:rPr>
          <w:rFonts w:cs="楷体_GB2312" w:asciiTheme="minorEastAsia" w:hAnsiTheme="minorEastAsia" w:eastAsiaTheme="minorEastAsia"/>
          <w:b/>
          <w:bCs/>
          <w:color w:val="auto"/>
          <w:kern w:val="28"/>
          <w:szCs w:val="21"/>
          <w:highlight w:val="none"/>
        </w:rPr>
      </w:pPr>
      <w:r>
        <w:rPr>
          <w:rFonts w:hint="eastAsia" w:cs="楷体_GB2312" w:asciiTheme="minorEastAsia" w:hAnsiTheme="minorEastAsia" w:eastAsiaTheme="minorEastAsia"/>
          <w:b/>
          <w:bCs/>
          <w:color w:val="auto"/>
          <w:kern w:val="28"/>
          <w:szCs w:val="21"/>
          <w:highlight w:val="none"/>
        </w:rPr>
        <w:t>（一）</w:t>
      </w:r>
      <w:r>
        <w:rPr>
          <w:rFonts w:hint="eastAsia" w:cs="楷体_GB2312" w:asciiTheme="minorEastAsia" w:hAnsiTheme="minorEastAsia" w:eastAsiaTheme="minorEastAsia"/>
          <w:b/>
          <w:bCs/>
          <w:color w:val="auto"/>
          <w:kern w:val="28"/>
          <w:szCs w:val="21"/>
          <w:highlight w:val="none"/>
          <w:lang w:val="en-US" w:eastAsia="zh-CN"/>
        </w:rPr>
        <w:t>基本功能</w:t>
      </w:r>
      <w:r>
        <w:rPr>
          <w:rFonts w:hint="eastAsia" w:cs="楷体_GB2312" w:asciiTheme="minorEastAsia" w:hAnsiTheme="minorEastAsia" w:eastAsiaTheme="minorEastAsia"/>
          <w:b/>
          <w:bCs/>
          <w:color w:val="auto"/>
          <w:kern w:val="28"/>
          <w:szCs w:val="21"/>
          <w:highlight w:val="none"/>
        </w:rPr>
        <w:t>需求</w:t>
      </w:r>
    </w:p>
    <w:tbl>
      <w:tblPr>
        <w:tblStyle w:val="7"/>
        <w:tblW w:w="944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2"/>
        <w:gridCol w:w="1695"/>
        <w:gridCol w:w="7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582" w:type="dxa"/>
            <w:tcBorders>
              <w:top w:val="single" w:color="000000" w:sz="4" w:space="0"/>
              <w:left w:val="single" w:color="000000" w:sz="4" w:space="0"/>
              <w:bottom w:val="single" w:color="000000" w:sz="4" w:space="0"/>
              <w:right w:val="single" w:color="000000" w:sz="4" w:space="0"/>
            </w:tcBorders>
            <w:shd w:val="pct25" w:color="auto" w:fill="auto"/>
            <w:noWrap/>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22"/>
                <w:szCs w:val="22"/>
                <w:highlight w:val="none"/>
                <w:u w:val="none"/>
                <w:lang w:val="en-US" w:eastAsia="zh-CN" w:bidi="ar"/>
              </w:rPr>
            </w:pPr>
            <w:r>
              <w:rPr>
                <w:rFonts w:hint="eastAsia" w:ascii="仿宋_GB2312" w:hAnsi="等线" w:eastAsia="仿宋_GB2312" w:cs="仿宋_GB2312"/>
                <w:b/>
                <w:bCs/>
                <w:i w:val="0"/>
                <w:iCs w:val="0"/>
                <w:color w:val="000000"/>
                <w:kern w:val="0"/>
                <w:sz w:val="22"/>
                <w:szCs w:val="22"/>
                <w:highlight w:val="none"/>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pct25" w:color="auto" w:fill="auto"/>
            <w:noWrap/>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22"/>
                <w:szCs w:val="22"/>
                <w:highlight w:val="none"/>
                <w:u w:val="none"/>
                <w:lang w:val="en-US" w:eastAsia="zh-CN" w:bidi="ar"/>
              </w:rPr>
            </w:pPr>
            <w:r>
              <w:rPr>
                <w:rFonts w:hint="eastAsia" w:ascii="仿宋_GB2312" w:hAnsi="等线" w:eastAsia="仿宋_GB2312" w:cs="仿宋_GB2312"/>
                <w:b/>
                <w:bCs/>
                <w:i w:val="0"/>
                <w:iCs w:val="0"/>
                <w:color w:val="000000"/>
                <w:kern w:val="0"/>
                <w:sz w:val="22"/>
                <w:szCs w:val="22"/>
                <w:highlight w:val="none"/>
                <w:u w:val="none"/>
                <w:lang w:val="en-US" w:eastAsia="zh-CN" w:bidi="ar"/>
              </w:rPr>
              <w:t>业务功能</w:t>
            </w:r>
          </w:p>
        </w:tc>
        <w:tc>
          <w:tcPr>
            <w:tcW w:w="7166" w:type="dxa"/>
            <w:tcBorders>
              <w:top w:val="single" w:color="000000" w:sz="4" w:space="0"/>
              <w:left w:val="single" w:color="000000" w:sz="4" w:space="0"/>
              <w:bottom w:val="single" w:color="000000" w:sz="4" w:space="0"/>
              <w:right w:val="single" w:color="000000" w:sz="4" w:space="0"/>
            </w:tcBorders>
            <w:shd w:val="pct25" w:color="auto" w:fill="auto"/>
            <w:noWrap/>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22"/>
                <w:szCs w:val="22"/>
                <w:highlight w:val="none"/>
                <w:u w:val="none"/>
                <w:lang w:val="en-US" w:eastAsia="zh-CN" w:bidi="ar"/>
              </w:rPr>
            </w:pPr>
            <w:r>
              <w:rPr>
                <w:rFonts w:hint="eastAsia" w:ascii="仿宋_GB2312" w:hAnsi="等线" w:eastAsia="仿宋_GB2312" w:cs="仿宋_GB2312"/>
                <w:b/>
                <w:bCs/>
                <w:i w:val="0"/>
                <w:iCs w:val="0"/>
                <w:color w:val="000000"/>
                <w:kern w:val="0"/>
                <w:sz w:val="22"/>
                <w:szCs w:val="22"/>
                <w:highlight w:val="none"/>
                <w:u w:val="none"/>
                <w:lang w:val="en-US" w:eastAsia="zh-CN" w:bidi="ar"/>
              </w:rPr>
              <w:t>功能说明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7"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多平台支持及兼容性</w:t>
            </w: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default" w:ascii="仿宋_GB2312" w:hAnsi="等线" w:eastAsia="仿宋_GB2312" w:cs="仿宋_GB2312"/>
                <w:i w:val="0"/>
                <w:iCs w:val="0"/>
                <w:color w:val="000000"/>
                <w:kern w:val="0"/>
                <w:sz w:val="22"/>
                <w:szCs w:val="22"/>
                <w:highlight w:val="none"/>
                <w:u w:val="none"/>
                <w:lang w:val="en-US" w:eastAsia="zh-CN" w:bidi="ar"/>
              </w:rPr>
              <w:t>支持</w:t>
            </w:r>
            <w:r>
              <w:rPr>
                <w:rFonts w:hint="eastAsia" w:ascii="仿宋_GB2312" w:hAnsi="等线" w:eastAsia="仿宋_GB2312" w:cs="仿宋_GB2312"/>
                <w:i w:val="0"/>
                <w:iCs w:val="0"/>
                <w:color w:val="000000"/>
                <w:kern w:val="0"/>
                <w:sz w:val="22"/>
                <w:szCs w:val="22"/>
                <w:highlight w:val="none"/>
                <w:u w:val="none"/>
                <w:lang w:val="en-US" w:eastAsia="zh-CN" w:bidi="ar"/>
              </w:rPr>
              <w:t>以下CPU和操作系统</w:t>
            </w:r>
          </w:p>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default" w:ascii="仿宋_GB2312" w:hAnsi="等线" w:eastAsia="仿宋_GB2312" w:cs="仿宋_GB2312"/>
                <w:i w:val="0"/>
                <w:iCs w:val="0"/>
                <w:color w:val="000000"/>
                <w:kern w:val="0"/>
                <w:sz w:val="22"/>
                <w:szCs w:val="22"/>
                <w:highlight w:val="none"/>
                <w:u w:val="none"/>
                <w:lang w:val="en-US" w:eastAsia="zh-CN" w:bidi="ar"/>
              </w:rPr>
              <w:t>1.CPU支持：支持</w:t>
            </w:r>
            <w:r>
              <w:rPr>
                <w:rFonts w:hint="eastAsia" w:ascii="仿宋_GB2312" w:hAnsi="等线" w:eastAsia="仿宋_GB2312" w:cs="仿宋_GB2312"/>
                <w:i w:val="0"/>
                <w:iCs w:val="0"/>
                <w:color w:val="000000"/>
                <w:kern w:val="0"/>
                <w:sz w:val="22"/>
                <w:szCs w:val="22"/>
                <w:highlight w:val="none"/>
                <w:u w:val="none"/>
                <w:lang w:val="en-US" w:eastAsia="zh-CN" w:bidi="ar"/>
              </w:rPr>
              <w:t>X86、</w:t>
            </w:r>
            <w:r>
              <w:rPr>
                <w:rFonts w:hint="default" w:ascii="仿宋_GB2312" w:hAnsi="等线" w:eastAsia="仿宋_GB2312" w:cs="仿宋_GB2312"/>
                <w:i w:val="0"/>
                <w:iCs w:val="0"/>
                <w:color w:val="000000"/>
                <w:kern w:val="0"/>
                <w:sz w:val="22"/>
                <w:szCs w:val="22"/>
                <w:highlight w:val="none"/>
                <w:u w:val="none"/>
                <w:lang w:val="en-US" w:eastAsia="zh-CN" w:bidi="ar"/>
              </w:rPr>
              <w:t>鲲鹏、海光</w:t>
            </w:r>
            <w:r>
              <w:rPr>
                <w:rFonts w:hint="eastAsia" w:ascii="仿宋_GB2312" w:hAnsi="等线" w:eastAsia="仿宋_GB2312" w:cs="仿宋_GB2312"/>
                <w:i w:val="0"/>
                <w:iCs w:val="0"/>
                <w:color w:val="000000"/>
                <w:kern w:val="0"/>
                <w:sz w:val="22"/>
                <w:szCs w:val="22"/>
                <w:highlight w:val="none"/>
                <w:u w:val="none"/>
                <w:lang w:val="en-US" w:eastAsia="zh-CN" w:bidi="ar"/>
              </w:rPr>
              <w:t>等</w:t>
            </w:r>
            <w:r>
              <w:rPr>
                <w:rFonts w:hint="default" w:ascii="仿宋_GB2312" w:hAnsi="等线" w:eastAsia="仿宋_GB2312" w:cs="仿宋_GB2312"/>
                <w:i w:val="0"/>
                <w:iCs w:val="0"/>
                <w:color w:val="000000"/>
                <w:kern w:val="0"/>
                <w:sz w:val="22"/>
                <w:szCs w:val="22"/>
                <w:highlight w:val="none"/>
                <w:u w:val="none"/>
                <w:lang w:val="en-US" w:eastAsia="zh-CN" w:bidi="ar"/>
              </w:rPr>
              <w:t>；</w:t>
            </w:r>
          </w:p>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default" w:ascii="仿宋_GB2312" w:hAnsi="等线" w:eastAsia="仿宋_GB2312" w:cs="仿宋_GB2312"/>
                <w:i w:val="0"/>
                <w:iCs w:val="0"/>
                <w:color w:val="000000"/>
                <w:kern w:val="0"/>
                <w:sz w:val="22"/>
                <w:szCs w:val="22"/>
                <w:highlight w:val="none"/>
                <w:u w:val="none"/>
                <w:lang w:val="en-US" w:eastAsia="zh-CN" w:bidi="ar"/>
              </w:rPr>
              <w:t>2.操作系统支持：</w:t>
            </w:r>
            <w:r>
              <w:rPr>
                <w:rFonts w:hint="eastAsia" w:ascii="仿宋_GB2312" w:hAnsi="等线" w:eastAsia="仿宋_GB2312" w:cs="仿宋_GB2312"/>
                <w:i w:val="0"/>
                <w:iCs w:val="0"/>
                <w:color w:val="000000"/>
                <w:kern w:val="0"/>
                <w:sz w:val="22"/>
                <w:szCs w:val="22"/>
                <w:highlight w:val="none"/>
                <w:u w:val="none"/>
                <w:lang w:val="en-US" w:eastAsia="zh-CN" w:bidi="ar"/>
              </w:rPr>
              <w:t>linux、</w:t>
            </w:r>
            <w:r>
              <w:rPr>
                <w:rFonts w:hint="default" w:ascii="仿宋_GB2312" w:hAnsi="等线" w:eastAsia="仿宋_GB2312" w:cs="仿宋_GB2312"/>
                <w:i w:val="0"/>
                <w:iCs w:val="0"/>
                <w:color w:val="000000"/>
                <w:kern w:val="0"/>
                <w:sz w:val="22"/>
                <w:szCs w:val="22"/>
                <w:highlight w:val="none"/>
                <w:u w:val="none"/>
                <w:lang w:val="en-US" w:eastAsia="zh-CN" w:bidi="ar"/>
              </w:rPr>
              <w:t>银河麒麟、UOS等。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9"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支持金融信创生态实验室认证，软件功能和性能效率在信创环境表现稳定。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1.支持浏览器直接访问，不依赖任何控件（Chrome≥ 90、Edge≥106、Safari≥16、Firefox≥105、统信≥90、奇安信≥110等</w:t>
            </w:r>
            <w:r>
              <w:rPr>
                <w:rFonts w:hint="eastAsia" w:ascii="仿宋_GB2312" w:hAnsi="等线" w:eastAsia="仿宋_GB2312" w:cs="仿宋_GB2312"/>
                <w:i w:val="0"/>
                <w:iCs w:val="0"/>
                <w:color w:val="000000"/>
                <w:kern w:val="0"/>
                <w:sz w:val="22"/>
                <w:szCs w:val="22"/>
                <w:highlight w:val="none"/>
                <w:u w:val="none"/>
                <w:lang w:val="en-US" w:eastAsia="zh-CN" w:bidi="ar"/>
              </w:rPr>
              <w:t>）</w:t>
            </w:r>
          </w:p>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2.支持在PC端（Windows/Linux/MAC/统信/麒麟）、移动端（ios/Android/鸿蒙）、Pad等多终端访问。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8"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4</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1.支持office文档格式在线预览和在线编辑，且文档格式和样式跟微软客户端、WPS客户端保持一致，不改变字体和排版效果。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7"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5</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1.支持与泛微、蓝凌、致远等主流品牌的业务平台系统完全兼容。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9</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安全管控</w:t>
            </w: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1.支持防盗链，接口调用签名支持国密算法加密，防止非法集成调用、确保数据安全。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10</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highlight w:val="none"/>
                <w:lang w:val="en-US" w:eastAsia="zh-CN"/>
              </w:rPr>
            </w:pPr>
            <w:r>
              <w:rPr>
                <w:rFonts w:hint="eastAsia"/>
                <w:highlight w:val="none"/>
                <w:lang w:val="en-US" w:eastAsia="zh-CN"/>
              </w:rPr>
              <w:t>1.</w:t>
            </w:r>
            <w:r>
              <w:rPr>
                <w:rFonts w:hint="eastAsia" w:ascii="仿宋_GB2312" w:hAnsi="等线" w:eastAsia="仿宋_GB2312" w:cs="仿宋_GB2312"/>
                <w:color w:val="000000"/>
                <w:kern w:val="0"/>
                <w:sz w:val="22"/>
                <w:szCs w:val="22"/>
                <w:highlight w:val="none"/>
                <w:lang w:val="en-US" w:eastAsia="zh-CN" w:bidi="ar"/>
              </w:rPr>
              <w:t>支持文档缓存数据加密，防止通过缓存数据获取文档内容。</w:t>
            </w:r>
          </w:p>
          <w:p>
            <w:pPr>
              <w:pStyle w:val="4"/>
              <w:rPr>
                <w:rFonts w:hint="default"/>
                <w:highlight w:val="none"/>
                <w:lang w:val="en-US" w:eastAsia="zh-CN"/>
              </w:rPr>
            </w:pPr>
            <w:r>
              <w:rPr>
                <w:rFonts w:hint="eastAsia"/>
                <w:highlight w:val="none"/>
                <w:lang w:val="en-US" w:eastAsia="zh-CN"/>
              </w:rPr>
              <w:t>2.</w:t>
            </w:r>
            <w:r>
              <w:rPr>
                <w:rFonts w:hint="eastAsia" w:ascii="仿宋_GB2312" w:hAnsi="等线" w:eastAsia="仿宋_GB2312" w:cs="仿宋_GB2312"/>
                <w:i w:val="0"/>
                <w:iCs w:val="0"/>
                <w:color w:val="000000"/>
                <w:kern w:val="0"/>
                <w:sz w:val="22"/>
                <w:szCs w:val="22"/>
                <w:highlight w:val="none"/>
                <w:u w:val="none"/>
                <w:lang w:val="en-US" w:eastAsia="zh-CN" w:bidi="ar"/>
              </w:rPr>
              <w:t>支持定时清理文档缓存数据定时清理，提高存储效率，减少安全风险。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11</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平台架构</w:t>
            </w: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1.支持设置HTTP/HTTPS协议访问、多IP、多域名等配置项，支持负载均衡如SLB、F5等设备分发机制。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12</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1.采用高集成式服务总线架构，支持高可用，集群方案里每一个节点除了网关层外（misc-gateway）外，都是一个可提供完整服务的独立单元，满足大体量客户需求。</w:t>
            </w:r>
          </w:p>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2.当运行环境中当有节点出现故障时，请求会路由到存活节点，不影响用户预览和编辑文档。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13</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1.服务处理上采用微服务设计，数据持久化上采用缓存策略，保证服务无状态运行，减少系统资源占用率。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14</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2.支持系统重启后的服务修复程序，一般故障可通过重启服务，在2分钟内即可快速恢复。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15</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在线预览</w:t>
            </w: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支持业务系统在线预览流式文件、版式文件、图片、压缩包文件、markdown文件、邮箱文件（eml）、常见代码格式文件、Visio、日志等专用格式文件。</w:t>
            </w:r>
          </w:p>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1.流式文件包含：doc、docx、wps、xls、xlsx、et、ppt、pptx等；</w:t>
            </w:r>
          </w:p>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2.版式文件包含PDF、OFD；</w:t>
            </w:r>
          </w:p>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3.图片格式包含：jpeg、jpg、png、tif、gif、svg、psd等；</w:t>
            </w:r>
          </w:p>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4.压缩包文件包含：tar、zip、7z、jar、rar；支持对压缩软件生成的加密压缩包预览；</w:t>
            </w:r>
          </w:p>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5.常见代码格式文件包含：java、css、js、bat、prg、cmd、xml等；</w:t>
            </w:r>
          </w:p>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6.专用文件格式包含：log、ini、inf、cdr、vsd、vsdx等。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16</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支持提供3种以上预览模式，不同预览模式下的性能效率、资源消耗、打开速度、功能支持等不同，业务方可根据自身业务场景的特点及诉按需集成，为用户提供更好的预览体验。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17</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极速预览模式下，文档的打开速度和排版效果优势明显。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18</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1.支持文档在线预览时限制用户数，支持限制打开文件的大小，须支持2G大小的word、excel、ppt、pdf文件在线预览。</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2.支持文字、演示、表格、PDF文件在只读状态下对文档进行评论。</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3.支持表格文件在只读状态下进行筛选。</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4.支持企业自定义配置文档预览时的loading页面，Logo&amp;提示文案支持配置。</w:t>
            </w:r>
          </w:p>
          <w:p>
            <w:pPr>
              <w:rPr>
                <w:rFonts w:hint="default"/>
                <w:highlight w:val="none"/>
                <w:lang w:val="en-US" w:eastAsia="zh-CN"/>
              </w:rPr>
            </w:pPr>
            <w:r>
              <w:rPr>
                <w:rFonts w:hint="eastAsia" w:ascii="仿宋_GB2312" w:hAnsi="等线" w:eastAsia="仿宋_GB2312" w:cs="仿宋_GB2312"/>
                <w:i w:val="0"/>
                <w:iCs w:val="0"/>
                <w:color w:val="000000"/>
                <w:kern w:val="0"/>
                <w:sz w:val="22"/>
                <w:szCs w:val="22"/>
                <w:highlight w:val="none"/>
                <w:u w:val="none"/>
                <w:lang w:val="en-US" w:eastAsia="zh-CN" w:bidi="ar"/>
              </w:rPr>
              <w:t>5.支持对预览文件打印时带水印，实现文档的预览效果和打印效果保持一致。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19</w:t>
            </w:r>
          </w:p>
        </w:tc>
        <w:tc>
          <w:tcPr>
            <w:tcW w:w="169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在线编辑</w:t>
            </w: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1.支持至少200人同时编辑一份文档，须支持2G大小的word、excel、ppt文件在线编辑。</w:t>
            </w:r>
          </w:p>
          <w:p>
            <w:pPr>
              <w:widowControl/>
              <w:jc w:val="left"/>
              <w:textAlignment w:val="center"/>
              <w:rPr>
                <w:rFonts w:hint="default"/>
                <w:highlight w:val="none"/>
                <w:lang w:val="en-US" w:eastAsia="zh-CN"/>
              </w:rPr>
            </w:pPr>
            <w:r>
              <w:rPr>
                <w:rFonts w:hint="eastAsia" w:ascii="仿宋_GB2312" w:hAnsi="等线" w:eastAsia="仿宋_GB2312" w:cs="仿宋_GB2312"/>
                <w:color w:val="000000"/>
                <w:kern w:val="0"/>
                <w:sz w:val="22"/>
                <w:szCs w:val="22"/>
                <w:highlight w:val="none"/>
                <w:lang w:val="en-US" w:eastAsia="zh-CN" w:bidi="ar"/>
              </w:rPr>
              <w:t>2.</w:t>
            </w:r>
            <w:r>
              <w:rPr>
                <w:rFonts w:hint="eastAsia" w:ascii="仿宋_GB2312" w:hAnsi="等线" w:eastAsia="仿宋_GB2312" w:cs="仿宋_GB2312"/>
                <w:i w:val="0"/>
                <w:iCs w:val="0"/>
                <w:color w:val="000000"/>
                <w:kern w:val="0"/>
                <w:sz w:val="22"/>
                <w:szCs w:val="22"/>
                <w:highlight w:val="none"/>
                <w:u w:val="none"/>
                <w:lang w:val="en-US" w:eastAsia="zh-CN" w:bidi="ar"/>
              </w:rPr>
              <w:t>支持在业务系统中进行多种文件格式（doc、docx、wps、xls、xlsx、et、ppt、pptx、dpt）的多人协同编辑，同时支持在PDF文件上批注。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20</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1.支持在文档打开、关闭、打印等操作时，向第三方应用推送消息。</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2.支持通过插入内容控件对文字组件内容限制区域编辑。</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3.支持文字文档中插入超链接、日期、LaTeX公式</w:t>
            </w:r>
          </w:p>
          <w:p>
            <w:pPr>
              <w:widowControl/>
              <w:jc w:val="left"/>
              <w:textAlignment w:val="center"/>
              <w:rPr>
                <w:rFonts w:hint="default"/>
                <w:highlight w:val="none"/>
                <w:lang w:val="en-US" w:eastAsia="zh-CN"/>
              </w:rPr>
            </w:pPr>
            <w:r>
              <w:rPr>
                <w:rFonts w:hint="eastAsia" w:ascii="仿宋_GB2312" w:hAnsi="等线" w:eastAsia="仿宋_GB2312" w:cs="仿宋_GB2312"/>
                <w:color w:val="000000"/>
                <w:kern w:val="0"/>
                <w:sz w:val="22"/>
                <w:szCs w:val="22"/>
                <w:highlight w:val="none"/>
                <w:lang w:val="en-US" w:eastAsia="zh-CN" w:bidi="ar"/>
              </w:rPr>
              <w:t>4.支持在文字组件中强制修订，切换修订状态。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21</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1.支持往文字文档中批量插入图片，支持图片在线裁剪，图片与文字叠放层级支持“四周型环绕”、“紧密型环绕”、“穿越型环绕”、“上下型环绕”、“衬于文字下方”、“浮于文字上方”。</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2.支持在文字组件中插入脚注尾注。</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3.支持对文字文档中插入的表格设置“标题行重复”、“自定义列宽、行高”；支持文字编辑模式下显示斜线表头。</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4.支持文字、表格、演示编辑页面中，设置字体时快速检索字体；文字组件中支持常用的方正字体，满足公文场景下的编辑诉求</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5.支持文字页面中评论筛选，可按“已解决/未解决”、"评论人"筛选，且支持点击查看评论中的超链接。</w:t>
            </w:r>
          </w:p>
          <w:p>
            <w:pPr>
              <w:widowControl/>
              <w:jc w:val="left"/>
              <w:textAlignment w:val="center"/>
              <w:rPr>
                <w:rFonts w:hint="default"/>
                <w:highlight w:val="none"/>
                <w:lang w:val="en-US" w:eastAsia="zh-CN"/>
              </w:rPr>
            </w:pPr>
            <w:r>
              <w:rPr>
                <w:rFonts w:hint="eastAsia" w:ascii="仿宋_GB2312" w:hAnsi="等线" w:eastAsia="仿宋_GB2312" w:cs="仿宋_GB2312"/>
                <w:i w:val="0"/>
                <w:iCs w:val="0"/>
                <w:color w:val="000000"/>
                <w:kern w:val="0"/>
                <w:sz w:val="22"/>
                <w:szCs w:val="22"/>
                <w:highlight w:val="none"/>
                <w:u w:val="none"/>
                <w:lang w:val="en-US" w:eastAsia="zh-CN" w:bidi="ar"/>
              </w:rPr>
              <w:t>6.支持文字文档开启4种模式的保护方式，分别是“只读（仅查看文档内容）、修订（以修订方式修改文档内容）、评论（仅允许评论文档内容）、内容控件（仅可编辑内容控件区域，其他区域仅查看）”。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22</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1.在表格组件中支持使用数据透视表、可自定义开启/关闭表格模块中的多人同步筛选，让用户在执行筛选操作时不影响其他人。</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2.支持在表格组件中设置区域权限和列权限，实现保护特定区域内的单元格，不允许随意修改。</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3.支持在表格组件中插入图片，且支持浮动图片和单元格图片两种插入方式。</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4.支持对表格文件进行“文件瘦身”，通过清除无用的对象和单元格等，减小文档体积；支持将表格文档导出为图片。</w:t>
            </w:r>
          </w:p>
          <w:p>
            <w:pPr>
              <w:widowControl/>
              <w:jc w:val="left"/>
              <w:textAlignment w:val="center"/>
              <w:rPr>
                <w:rFonts w:hint="default"/>
                <w:highlight w:val="none"/>
                <w:lang w:val="en-US" w:eastAsia="zh-CN"/>
              </w:rPr>
            </w:pPr>
            <w:r>
              <w:rPr>
                <w:rFonts w:hint="eastAsia" w:ascii="仿宋_GB2312" w:hAnsi="等线" w:eastAsia="仿宋_GB2312" w:cs="仿宋_GB2312"/>
                <w:i w:val="0"/>
                <w:iCs w:val="0"/>
                <w:color w:val="000000"/>
                <w:kern w:val="0"/>
                <w:sz w:val="22"/>
                <w:szCs w:val="22"/>
                <w:highlight w:val="none"/>
                <w:u w:val="none"/>
                <w:lang w:val="en-US" w:eastAsia="zh-CN" w:bidi="ar"/>
              </w:rPr>
              <w:t>5.支持对表格文件“按选项”、“按颜色”、“按条件”进行筛选。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23</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1.支持在演示组中插入本地音视频并在线播放,须支持的音频及视频格式如下：'mp3', 'm4a', 'aac', 'wav', 'wma','mp4', 'wmv', 'avi'。</w:t>
            </w:r>
          </w:p>
          <w:p>
            <w:pPr>
              <w:widowControl/>
              <w:jc w:val="left"/>
              <w:textAlignment w:val="center"/>
              <w:rPr>
                <w:rFonts w:hint="eastAsia" w:ascii="仿宋_GB2312" w:hAnsi="等线" w:eastAsia="仿宋_GB2312" w:cs="仿宋_GB2312"/>
                <w:color w:val="000000"/>
                <w:kern w:val="0"/>
                <w:sz w:val="22"/>
                <w:szCs w:val="22"/>
                <w:highlight w:val="none"/>
                <w:lang w:val="en-US" w:eastAsia="zh-CN" w:bidi="ar"/>
              </w:rPr>
            </w:pPr>
            <w:r>
              <w:rPr>
                <w:rFonts w:hint="eastAsia" w:ascii="仿宋_GB2312" w:hAnsi="等线" w:eastAsia="仿宋_GB2312" w:cs="仿宋_GB2312"/>
                <w:color w:val="000000"/>
                <w:kern w:val="0"/>
                <w:sz w:val="22"/>
                <w:szCs w:val="22"/>
                <w:highlight w:val="none"/>
                <w:lang w:val="en-US" w:eastAsia="zh-CN" w:bidi="ar"/>
              </w:rPr>
              <w:t>2.支持在演示组件中插入图表（包含柱状图、折线图、饼图、条形图、面积图、散点图、股价图、雷达图）、Latex公式、常见数学和希腊符号、二维码。</w:t>
            </w:r>
          </w:p>
          <w:p>
            <w:pPr>
              <w:widowControl/>
              <w:jc w:val="left"/>
              <w:textAlignment w:val="center"/>
              <w:rPr>
                <w:rFonts w:hint="default"/>
                <w:highlight w:val="none"/>
                <w:lang w:val="en-US" w:eastAsia="zh-CN"/>
              </w:rPr>
            </w:pPr>
            <w:r>
              <w:rPr>
                <w:rFonts w:hint="eastAsia" w:ascii="仿宋_GB2312" w:hAnsi="等线" w:eastAsia="仿宋_GB2312" w:cs="仿宋_GB2312"/>
                <w:i w:val="0"/>
                <w:iCs w:val="0"/>
                <w:color w:val="000000"/>
                <w:kern w:val="0"/>
                <w:sz w:val="22"/>
                <w:szCs w:val="22"/>
                <w:highlight w:val="none"/>
                <w:u w:val="none"/>
                <w:lang w:val="en-US" w:eastAsia="zh-CN" w:bidi="ar"/>
              </w:rPr>
              <w:t>3.支持在演示组件中使用画笔功能，满足对文档圈画圈批诉求。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24</w:t>
            </w:r>
          </w:p>
        </w:tc>
        <w:tc>
          <w:tcPr>
            <w:tcW w:w="169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支持在PDF文件中使用画笔功能；支持给选定文字设置高亮、下划线、删除线；支持设置文档背景、添加签名，旋转文档。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25</w:t>
            </w:r>
          </w:p>
        </w:tc>
        <w:tc>
          <w:tcPr>
            <w:tcW w:w="169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格式处理</w:t>
            </w: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支持为第三方应用提供文字、表格、演示、PDF、OFD、UOF、图片、图表、文本、代码等多种组件格式转换能力；支持对50M以上的文件进行格式处理。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26</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支持第三方应用调用接口实现套用套红、文档清稿、添加文档水印等能力。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27</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支持为第三方应用系统提供文件合并能力。支持对流式（doc，docx，wps、xls，xlsx、ppt，pptx）、版式（pdf，ofd）同类型文档进行合并，须支持10个同类型文档合并。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28</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支持为第三方应用系统提供文件拆分能力。支持对多种格式文档（doc，docx，wps，ppt，pptx，xls，xlsx，pdf）进行按比例或者按范围拆分。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29</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支持为第三方应用提供图片操作能力，如缩放、旋转、翻转、清晰度、添加图片水印、添加文字水印等能力。须支持的图片格式如下： jpeg，jpg，png，bmp。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30</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支持为第三方应用提供在线解压能力，须支持在线解压的格式有：tar，zip，7z，gz，rar，jar。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31</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支持为第三方应用提供格式处理完成后的文档下载能力。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32</w:t>
            </w:r>
          </w:p>
        </w:tc>
        <w:tc>
          <w:tcPr>
            <w:tcW w:w="169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支持自定义配置格式处理的最大文档大小、单个格式处理任务执行超时时间、同步并发数。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33</w:t>
            </w:r>
          </w:p>
        </w:tc>
        <w:tc>
          <w:tcPr>
            <w:tcW w:w="169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扩展接口能力</w:t>
            </w: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获取同时协作在线的用户列表的接口能力。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34</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支持强制保存文档的接口能力，和强制刷新编辑页面的接口能力。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35</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支持强制踢人下线的接口能力。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36</w:t>
            </w:r>
          </w:p>
        </w:tc>
        <w:tc>
          <w:tcPr>
            <w:tcW w:w="1695"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提供强大的前端二次开发能力；基于前端组件的强大的前端开放 SDK，文档中台提供了自定义组件元素、组件事件监听、文档操作等 JSAPI。第三方应用系统可调用 SDK 或 JSAPI 实现不同场景下定制化的组件能力，深度满足更多元的使用场景。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trPr>
        <w:tc>
          <w:tcPr>
            <w:tcW w:w="58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37</w:t>
            </w:r>
          </w:p>
        </w:tc>
        <w:tc>
          <w:tcPr>
            <w:tcW w:w="16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部署升级</w:t>
            </w:r>
          </w:p>
        </w:tc>
        <w:tc>
          <w:tcPr>
            <w:tcW w:w="716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支持在线自动升级，且全程可视化，无需人为定时定点执行升级动作。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trPr>
        <w:tc>
          <w:tcPr>
            <w:tcW w:w="58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38</w:t>
            </w:r>
          </w:p>
        </w:tc>
        <w:tc>
          <w:tcPr>
            <w:tcW w:w="1695"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支持双数据中心部署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39</w:t>
            </w:r>
          </w:p>
        </w:tc>
        <w:tc>
          <w:tcPr>
            <w:tcW w:w="16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支持可视化部署并提供监控体系，对于异常指标可提供监控告警和过载保护，支持核心服务日志链路跟踪。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40</w:t>
            </w:r>
          </w:p>
        </w:tc>
        <w:tc>
          <w:tcPr>
            <w:tcW w:w="1695"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其他需求</w:t>
            </w: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配合完成两套系统的集成对接及上线运行。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41</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系统平台提供3年的授权使用服务，不限制部署的机器、使用的CPU数量、使用的用户数量及信息系统接入的数量。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42</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支持7*24小时服务。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43</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提供可视化的参数配置管理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44</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系统支持IPv6网络协议。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45</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应用系统支持在云环境中部署，支持在虚拟机环境中运行。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46</w:t>
            </w:r>
          </w:p>
        </w:tc>
        <w:tc>
          <w:tcPr>
            <w:tcW w:w="1695"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1、能够按照安装部署说明文档，对产品进行安装、卸载等操作，并提供便捷、灵活的更新升级和系统迁移方案。</w:t>
            </w:r>
            <w:r>
              <w:rPr>
                <w:rFonts w:hint="eastAsia" w:ascii="仿宋_GB2312" w:hAnsi="等线" w:eastAsia="仿宋_GB2312" w:cs="仿宋_GB2312"/>
                <w:i w:val="0"/>
                <w:iCs w:val="0"/>
                <w:color w:val="000000"/>
                <w:kern w:val="0"/>
                <w:sz w:val="22"/>
                <w:szCs w:val="22"/>
                <w:highlight w:val="none"/>
                <w:u w:val="none"/>
                <w:lang w:val="en-US" w:eastAsia="zh-CN" w:bidi="ar"/>
              </w:rPr>
              <w:br w:type="textWrapping"/>
            </w:r>
            <w:r>
              <w:rPr>
                <w:rFonts w:hint="eastAsia" w:ascii="仿宋_GB2312" w:hAnsi="等线" w:eastAsia="仿宋_GB2312" w:cs="仿宋_GB2312"/>
                <w:i w:val="0"/>
                <w:iCs w:val="0"/>
                <w:color w:val="000000"/>
                <w:kern w:val="0"/>
                <w:sz w:val="22"/>
                <w:szCs w:val="22"/>
                <w:highlight w:val="none"/>
                <w:u w:val="none"/>
                <w:lang w:val="en-US" w:eastAsia="zh-CN" w:bidi="ar"/>
              </w:rPr>
              <w:t>2、应用系统部署后，具备对部署正确性的确认方法包括自动进行功能性测试、人工查看日志、人工交易流水和人工进行交易，以判断交易或程序是否正常。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47</w:t>
            </w:r>
          </w:p>
        </w:tc>
        <w:tc>
          <w:tcPr>
            <w:tcW w:w="1695"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tc>
        <w:tc>
          <w:tcPr>
            <w:tcW w:w="7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r>
              <w:rPr>
                <w:rFonts w:hint="eastAsia" w:ascii="仿宋_GB2312" w:hAnsi="等线" w:eastAsia="仿宋_GB2312" w:cs="仿宋_GB2312"/>
                <w:i w:val="0"/>
                <w:iCs w:val="0"/>
                <w:color w:val="000000"/>
                <w:kern w:val="0"/>
                <w:sz w:val="22"/>
                <w:szCs w:val="22"/>
                <w:highlight w:val="none"/>
                <w:u w:val="none"/>
                <w:lang w:val="en-US" w:eastAsia="zh-CN" w:bidi="ar"/>
              </w:rPr>
              <w:t>1、提供用户手册，针对不同角色的用户，应用系统提供按角色层次将不同用户的使用说明编制在一起的用户使用手册。</w:t>
            </w:r>
            <w:r>
              <w:rPr>
                <w:rFonts w:hint="eastAsia" w:ascii="仿宋_GB2312" w:hAnsi="等线" w:eastAsia="仿宋_GB2312" w:cs="仿宋_GB2312"/>
                <w:i w:val="0"/>
                <w:iCs w:val="0"/>
                <w:color w:val="000000"/>
                <w:kern w:val="0"/>
                <w:sz w:val="22"/>
                <w:szCs w:val="22"/>
                <w:highlight w:val="none"/>
                <w:u w:val="none"/>
                <w:lang w:val="en-US" w:eastAsia="zh-CN" w:bidi="ar"/>
              </w:rPr>
              <w:br w:type="textWrapping"/>
            </w:r>
            <w:r>
              <w:rPr>
                <w:rFonts w:hint="eastAsia" w:ascii="仿宋_GB2312" w:hAnsi="等线" w:eastAsia="仿宋_GB2312" w:cs="仿宋_GB2312"/>
                <w:i w:val="0"/>
                <w:iCs w:val="0"/>
                <w:color w:val="000000"/>
                <w:kern w:val="0"/>
                <w:sz w:val="22"/>
                <w:szCs w:val="22"/>
                <w:highlight w:val="none"/>
                <w:u w:val="none"/>
                <w:lang w:val="en-US" w:eastAsia="zh-CN" w:bidi="ar"/>
              </w:rPr>
              <w:t>2、为运维人员提供的手册包括应用发布管理手册、补丁管理手册、数据清理手册、数据备份与恢复手册、应急预案、应用启停手册、应用可用性验证手册等。</w:t>
            </w:r>
            <w:r>
              <w:rPr>
                <w:rFonts w:hint="eastAsia" w:ascii="仿宋_GB2312" w:hAnsi="等线" w:eastAsia="仿宋_GB2312" w:cs="仿宋_GB2312"/>
                <w:i w:val="0"/>
                <w:iCs w:val="0"/>
                <w:color w:val="000000"/>
                <w:kern w:val="0"/>
                <w:sz w:val="22"/>
                <w:szCs w:val="22"/>
                <w:highlight w:val="none"/>
                <w:u w:val="none"/>
                <w:lang w:val="en-US" w:eastAsia="zh-CN" w:bidi="ar"/>
              </w:rPr>
              <w:br w:type="textWrapping"/>
            </w:r>
            <w:r>
              <w:rPr>
                <w:rFonts w:hint="eastAsia" w:ascii="仿宋_GB2312" w:hAnsi="等线" w:eastAsia="仿宋_GB2312" w:cs="仿宋_GB2312"/>
                <w:i w:val="0"/>
                <w:iCs w:val="0"/>
                <w:color w:val="000000"/>
                <w:kern w:val="0"/>
                <w:sz w:val="22"/>
                <w:szCs w:val="22"/>
                <w:highlight w:val="none"/>
                <w:u w:val="none"/>
                <w:lang w:val="en-US" w:eastAsia="zh-CN" w:bidi="ar"/>
              </w:rPr>
              <w:t>3、能够通过当前页面展示、弹出窗口提示等来提供在线帮助。</w:t>
            </w:r>
            <w:r>
              <w:rPr>
                <w:rFonts w:hint="eastAsia" w:ascii="仿宋_GB2312" w:hAnsi="等线" w:eastAsia="仿宋_GB2312" w:cs="仿宋_GB2312"/>
                <w:i w:val="0"/>
                <w:iCs w:val="0"/>
                <w:color w:val="000000"/>
                <w:kern w:val="0"/>
                <w:sz w:val="22"/>
                <w:szCs w:val="22"/>
                <w:highlight w:val="none"/>
                <w:u w:val="none"/>
                <w:lang w:val="en-US" w:eastAsia="zh-CN" w:bidi="ar"/>
              </w:rPr>
              <w:br w:type="textWrapping"/>
            </w:r>
            <w:r>
              <w:rPr>
                <w:rFonts w:hint="eastAsia" w:ascii="仿宋_GB2312" w:hAnsi="等线" w:eastAsia="仿宋_GB2312" w:cs="仿宋_GB2312"/>
                <w:i w:val="0"/>
                <w:iCs w:val="0"/>
                <w:color w:val="000000"/>
                <w:kern w:val="0"/>
                <w:sz w:val="22"/>
                <w:szCs w:val="22"/>
                <w:highlight w:val="none"/>
                <w:u w:val="none"/>
                <w:lang w:val="en-US" w:eastAsia="zh-CN" w:bidi="ar"/>
              </w:rPr>
              <w:t>4、应用系统将系统技术错误信息转换为业务概念提供给交互用户。</w:t>
            </w:r>
          </w:p>
        </w:tc>
      </w:tr>
    </w:tbl>
    <w:p>
      <w:pPr>
        <w:keepNext w:val="0"/>
        <w:keepLines w:val="0"/>
        <w:widowControl/>
        <w:suppressLineNumbers w:val="0"/>
        <w:jc w:val="left"/>
        <w:textAlignment w:val="center"/>
        <w:rPr>
          <w:rFonts w:hint="eastAsia" w:ascii="仿宋_GB2312" w:hAnsi="等线" w:eastAsia="仿宋_GB2312" w:cs="仿宋_GB2312"/>
          <w:i w:val="0"/>
          <w:iCs w:val="0"/>
          <w:color w:val="000000"/>
          <w:kern w:val="0"/>
          <w:sz w:val="22"/>
          <w:szCs w:val="22"/>
          <w:highlight w:val="none"/>
          <w:u w:val="none"/>
          <w:lang w:val="en-US" w:eastAsia="zh-CN" w:bidi="ar"/>
        </w:rPr>
      </w:pPr>
    </w:p>
    <w:p>
      <w:pPr>
        <w:spacing w:line="360" w:lineRule="auto"/>
        <w:outlineLvl w:val="0"/>
        <w:rPr>
          <w:rFonts w:ascii="宋体" w:hAnsi="宋体" w:cs="宋体"/>
          <w:b/>
          <w:bCs/>
          <w:color w:val="auto"/>
          <w:szCs w:val="21"/>
          <w:highlight w:val="none"/>
        </w:rPr>
      </w:pPr>
      <w:r>
        <w:rPr>
          <w:rFonts w:hint="eastAsia" w:ascii="宋体" w:hAnsi="宋体"/>
          <w:b/>
          <w:bCs/>
          <w:color w:val="auto"/>
          <w:szCs w:val="21"/>
          <w:highlight w:val="none"/>
        </w:rPr>
        <w:t>四、</w:t>
      </w:r>
      <w:r>
        <w:rPr>
          <w:rFonts w:hint="eastAsia" w:ascii="宋体" w:hAnsi="宋体" w:cs="宋体"/>
          <w:b/>
          <w:bCs/>
          <w:color w:val="auto"/>
          <w:szCs w:val="21"/>
          <w:highlight w:val="none"/>
        </w:rPr>
        <w:t>项目总体服务要求</w:t>
      </w:r>
    </w:p>
    <w:p>
      <w:pPr>
        <w:spacing w:line="360" w:lineRule="auto"/>
        <w:ind w:firstLine="422" w:firstLineChars="200"/>
        <w:outlineLvl w:val="1"/>
        <w:rPr>
          <w:rFonts w:cs="楷体_GB2312" w:asciiTheme="minorEastAsia" w:hAnsiTheme="minorEastAsia" w:eastAsiaTheme="minorEastAsia"/>
          <w:b/>
          <w:bCs/>
          <w:color w:val="auto"/>
          <w:kern w:val="28"/>
          <w:szCs w:val="21"/>
          <w:highlight w:val="none"/>
        </w:rPr>
      </w:pPr>
      <w:r>
        <w:rPr>
          <w:rFonts w:hint="eastAsia" w:cs="楷体_GB2312" w:asciiTheme="minorEastAsia" w:hAnsiTheme="minorEastAsia" w:eastAsiaTheme="minorEastAsia"/>
          <w:b/>
          <w:bCs/>
          <w:color w:val="auto"/>
          <w:kern w:val="28"/>
          <w:szCs w:val="21"/>
          <w:highlight w:val="none"/>
        </w:rPr>
        <w:t>（一）维保服务期</w:t>
      </w:r>
    </w:p>
    <w:p>
      <w:p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项目</w:t>
      </w:r>
      <w:r>
        <w:rPr>
          <w:rFonts w:hint="eastAsia" w:cs="仿宋_GB2312" w:asciiTheme="minorEastAsia" w:hAnsiTheme="minorEastAsia"/>
          <w:color w:val="auto"/>
          <w:szCs w:val="21"/>
          <w:highlight w:val="none"/>
          <w:lang w:val="en-US" w:eastAsia="zh-CN"/>
        </w:rPr>
        <w:t>授权使用</w:t>
      </w:r>
      <w:r>
        <w:rPr>
          <w:rFonts w:hint="eastAsia" w:cs="仿宋_GB2312" w:asciiTheme="minorEastAsia" w:hAnsiTheme="minorEastAsia" w:eastAsiaTheme="minorEastAsia"/>
          <w:color w:val="auto"/>
          <w:szCs w:val="21"/>
          <w:highlight w:val="none"/>
        </w:rPr>
        <w:t>维护期</w:t>
      </w:r>
      <w:r>
        <w:rPr>
          <w:rFonts w:hint="eastAsia" w:cs="仿宋_GB2312" w:asciiTheme="minorEastAsia" w:hAnsiTheme="minorEastAsia"/>
          <w:color w:val="auto"/>
          <w:szCs w:val="21"/>
          <w:highlight w:val="none"/>
          <w:lang w:val="en-US" w:eastAsia="zh-CN"/>
        </w:rPr>
        <w:t>3</w:t>
      </w:r>
      <w:r>
        <w:rPr>
          <w:rFonts w:hint="eastAsia" w:cs="仿宋_GB2312" w:asciiTheme="minorEastAsia" w:hAnsiTheme="minorEastAsia" w:eastAsiaTheme="minorEastAsia"/>
          <w:color w:val="auto"/>
          <w:szCs w:val="21"/>
          <w:highlight w:val="none"/>
        </w:rPr>
        <w:t>年</w:t>
      </w:r>
      <w:r>
        <w:rPr>
          <w:rFonts w:hint="eastAsia" w:cs="仿宋_GB2312" w:asciiTheme="minorEastAsia" w:hAnsiTheme="minorEastAsia" w:eastAsiaTheme="minorEastAsia"/>
          <w:color w:val="auto"/>
          <w:szCs w:val="21"/>
          <w:highlight w:val="none"/>
        </w:rPr>
        <w:t>。</w:t>
      </w:r>
    </w:p>
    <w:p>
      <w:pPr>
        <w:spacing w:line="360" w:lineRule="auto"/>
        <w:ind w:firstLine="422" w:firstLineChars="200"/>
        <w:outlineLvl w:val="1"/>
        <w:rPr>
          <w:rFonts w:cs="楷体_GB2312" w:asciiTheme="minorEastAsia" w:hAnsiTheme="minorEastAsia" w:eastAsiaTheme="minorEastAsia"/>
          <w:b/>
          <w:bCs/>
          <w:color w:val="auto"/>
          <w:kern w:val="28"/>
          <w:szCs w:val="21"/>
          <w:highlight w:val="none"/>
        </w:rPr>
      </w:pPr>
      <w:r>
        <w:rPr>
          <w:rFonts w:hint="eastAsia" w:cs="楷体_GB2312" w:asciiTheme="minorEastAsia" w:hAnsiTheme="minorEastAsia" w:eastAsiaTheme="minorEastAsia"/>
          <w:b/>
          <w:bCs/>
          <w:color w:val="auto"/>
          <w:kern w:val="28"/>
          <w:szCs w:val="21"/>
          <w:highlight w:val="none"/>
        </w:rPr>
        <w:t>（二）服务说明</w:t>
      </w:r>
    </w:p>
    <w:p>
      <w:p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所有服务内容必须由原厂提供，供应商不得将本项目的全部或部分转包给第三方。</w:t>
      </w:r>
    </w:p>
    <w:p>
      <w:pPr>
        <w:spacing w:line="360" w:lineRule="auto"/>
        <w:ind w:firstLine="422" w:firstLineChars="200"/>
        <w:outlineLvl w:val="1"/>
        <w:rPr>
          <w:rFonts w:cs="楷体_GB2312" w:asciiTheme="minorEastAsia" w:hAnsiTheme="minorEastAsia" w:eastAsiaTheme="minorEastAsia"/>
          <w:b/>
          <w:bCs/>
          <w:color w:val="auto"/>
          <w:kern w:val="28"/>
          <w:szCs w:val="21"/>
          <w:highlight w:val="none"/>
        </w:rPr>
      </w:pPr>
      <w:r>
        <w:rPr>
          <w:rFonts w:hint="eastAsia" w:cs="楷体_GB2312" w:asciiTheme="minorEastAsia" w:hAnsiTheme="minorEastAsia" w:eastAsiaTheme="minorEastAsia"/>
          <w:b/>
          <w:bCs/>
          <w:color w:val="auto"/>
          <w:kern w:val="28"/>
          <w:szCs w:val="21"/>
          <w:highlight w:val="none"/>
        </w:rPr>
        <w:t>（三）服务内容</w:t>
      </w:r>
    </w:p>
    <w:p>
      <w:pPr>
        <w:numPr>
          <w:ilvl w:val="0"/>
          <w:numId w:val="1"/>
        </w:num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安装与实施服务。供应商按照公告方项目需求进行项目实施工作，包括但不限于需求分析、系统设计、开发、测试、上线、培训等，满足公告方对项目上线运行的要求。</w:t>
      </w:r>
    </w:p>
    <w:p>
      <w:pPr>
        <w:numPr>
          <w:ilvl w:val="0"/>
          <w:numId w:val="1"/>
        </w:num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常规维保服务。包括保障软件正常运行、保障公告方业务稳定的所有服务。</w:t>
      </w:r>
    </w:p>
    <w:p>
      <w:pPr>
        <w:numPr>
          <w:ilvl w:val="0"/>
          <w:numId w:val="1"/>
        </w:num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巡检服务。提供每年</w:t>
      </w:r>
      <w:r>
        <w:rPr>
          <w:rFonts w:hint="eastAsia" w:cs="仿宋_GB2312" w:asciiTheme="minorEastAsia" w:hAnsiTheme="minorEastAsia" w:eastAsiaTheme="minorEastAsia"/>
          <w:color w:val="auto"/>
          <w:szCs w:val="21"/>
          <w:highlight w:val="none"/>
          <w:lang w:val="en-US" w:eastAsia="zh-CN"/>
        </w:rPr>
        <w:t>不少于</w:t>
      </w:r>
      <w:r>
        <w:rPr>
          <w:rFonts w:hint="eastAsia" w:cs="仿宋_GB2312" w:asciiTheme="minorEastAsia" w:hAnsiTheme="minorEastAsia" w:eastAsiaTheme="minorEastAsia"/>
          <w:color w:val="auto"/>
          <w:szCs w:val="21"/>
          <w:highlight w:val="none"/>
        </w:rPr>
        <w:t>4次现场巡检服务，具体巡检时间由公告方确定。巡检须派经验丰富的原厂工程师进行预防性检查维护，对配置进行检查，分析系统告警信息并提出整改方案，按公告方要求出具巡检报告、整改方案等文档并负责整改实施。</w:t>
      </w:r>
    </w:p>
    <w:p>
      <w:pPr>
        <w:numPr>
          <w:ilvl w:val="0"/>
          <w:numId w:val="1"/>
        </w:num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升级服务。针对产品缺陷</w:t>
      </w:r>
      <w:r>
        <w:rPr>
          <w:rFonts w:hint="eastAsia" w:cs="仿宋_GB2312" w:asciiTheme="minorEastAsia" w:hAnsiTheme="minorEastAsia" w:eastAsiaTheme="minorEastAsia"/>
          <w:color w:val="auto"/>
          <w:szCs w:val="21"/>
          <w:highlight w:val="none"/>
          <w:lang w:val="en-US" w:eastAsia="zh-CN"/>
        </w:rPr>
        <w:t>和安全漏洞</w:t>
      </w:r>
      <w:r>
        <w:rPr>
          <w:rFonts w:hint="eastAsia" w:cs="仿宋_GB2312" w:asciiTheme="minorEastAsia" w:hAnsiTheme="minorEastAsia" w:eastAsiaTheme="minorEastAsia"/>
          <w:color w:val="auto"/>
          <w:szCs w:val="21"/>
          <w:highlight w:val="none"/>
        </w:rPr>
        <w:t>或根据公告方要求为软件免费升级和补丁更新，保证用户能够及时获得相关服务和技术文档的更新。技术文档包括操作手册、产品说明、系统架构、应急处理、规章制度等。如产品出现重大缺陷时，须主动告知公告方升级或应对措施。</w:t>
      </w:r>
    </w:p>
    <w:p>
      <w:pPr>
        <w:numPr>
          <w:ilvl w:val="0"/>
          <w:numId w:val="1"/>
        </w:num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咨询服务。公告方可随时向供应商或原厂进行技术咨询。</w:t>
      </w:r>
    </w:p>
    <w:p>
      <w:pPr>
        <w:numPr>
          <w:ilvl w:val="0"/>
          <w:numId w:val="1"/>
        </w:num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应急服务。提供每周7×24小时专人应急服务电话。</w:t>
      </w:r>
    </w:p>
    <w:p>
      <w:pPr>
        <w:numPr>
          <w:ilvl w:val="0"/>
          <w:numId w:val="1"/>
        </w:num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现场服务。按需提供技术人员现场支援的服务。工程师要保持相对的稳定性。在公告方场所工作时，技术人员应遵守公告方相应的规章制度。</w:t>
      </w:r>
    </w:p>
    <w:p>
      <w:pPr>
        <w:numPr>
          <w:ilvl w:val="0"/>
          <w:numId w:val="1"/>
        </w:num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系统迁移服务。服务期内，如公告方有系统迁移需求，供应商有义务根据公告方要求提供优选迁移建议服务，如有必要供应商到达公告方项目现场提供协助。</w:t>
      </w:r>
    </w:p>
    <w:p>
      <w:pPr>
        <w:numPr>
          <w:ilvl w:val="0"/>
          <w:numId w:val="1"/>
        </w:num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重点时期现场保障服务。重要节假日（五一、国庆、中秋、春节等）和重要时期（网络攻防演练、上级现场监管检查等）提供专业技术人员现场保障和协助的服务，协助公告方防守、加固、溯源和分析等工作。</w:t>
      </w:r>
    </w:p>
    <w:p>
      <w:pPr>
        <w:spacing w:line="360" w:lineRule="auto"/>
        <w:outlineLvl w:val="0"/>
        <w:rPr>
          <w:rFonts w:ascii="宋体" w:hAnsi="宋体"/>
          <w:b/>
          <w:bCs/>
          <w:color w:val="auto"/>
          <w:szCs w:val="21"/>
          <w:highlight w:val="none"/>
        </w:rPr>
      </w:pPr>
      <w:r>
        <w:rPr>
          <w:rFonts w:hint="eastAsia" w:ascii="宋体" w:hAnsi="宋体"/>
          <w:b/>
          <w:bCs/>
          <w:color w:val="auto"/>
          <w:szCs w:val="21"/>
          <w:highlight w:val="none"/>
        </w:rPr>
        <w:t>五、供应商要求</w:t>
      </w:r>
    </w:p>
    <w:p>
      <w:pPr>
        <w:numPr>
          <w:ilvl w:val="0"/>
          <w:numId w:val="2"/>
        </w:num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lang w:val="en-US" w:eastAsia="zh-CN"/>
        </w:rPr>
        <w:t>供应商为在中华人民共和国境内登记注册的、合法存续、正常经营且具有独立承担民事责任能力的法人或其他组织</w:t>
      </w:r>
      <w:r>
        <w:rPr>
          <w:rFonts w:hint="eastAsia" w:cs="仿宋_GB2312" w:asciiTheme="minorEastAsia" w:hAnsiTheme="minorEastAsia" w:eastAsiaTheme="minorEastAsia"/>
          <w:color w:val="auto"/>
          <w:szCs w:val="21"/>
          <w:highlight w:val="none"/>
        </w:rPr>
        <w:t>。</w:t>
      </w:r>
    </w:p>
    <w:p>
      <w:pPr>
        <w:numPr>
          <w:ilvl w:val="0"/>
          <w:numId w:val="2"/>
        </w:numPr>
        <w:spacing w:line="360" w:lineRule="auto"/>
        <w:ind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供应商须提供</w:t>
      </w:r>
      <w:r>
        <w:rPr>
          <w:rFonts w:hint="eastAsia" w:cs="仿宋_GB2312" w:asciiTheme="minorEastAsia" w:hAnsiTheme="minorEastAsia" w:eastAsiaTheme="minorEastAsia"/>
          <w:color w:val="auto"/>
          <w:szCs w:val="21"/>
          <w:highlight w:val="none"/>
          <w:lang w:val="en-US" w:eastAsia="zh-CN"/>
        </w:rPr>
        <w:t>兼容</w:t>
      </w:r>
      <w:r>
        <w:rPr>
          <w:rFonts w:hint="eastAsia" w:cs="仿宋_GB2312" w:asciiTheme="minorEastAsia" w:hAnsiTheme="minorEastAsia" w:eastAsiaTheme="minorEastAsia"/>
          <w:color w:val="auto"/>
          <w:szCs w:val="21"/>
          <w:highlight w:val="none"/>
        </w:rPr>
        <w:t>方面资质材料，包括不限于产品平台与</w:t>
      </w:r>
      <w:r>
        <w:rPr>
          <w:rFonts w:hint="eastAsia" w:cs="仿宋_GB2312" w:asciiTheme="minorEastAsia" w:hAnsiTheme="minorEastAsia" w:eastAsiaTheme="minorEastAsia"/>
          <w:color w:val="auto"/>
          <w:szCs w:val="21"/>
          <w:highlight w:val="none"/>
          <w:lang w:val="en-US" w:eastAsia="zh-CN"/>
        </w:rPr>
        <w:t>ARM、X86</w:t>
      </w:r>
      <w:r>
        <w:rPr>
          <w:rFonts w:hint="eastAsia" w:cs="仿宋_GB2312" w:asciiTheme="minorEastAsia" w:hAnsiTheme="minorEastAsia" w:eastAsiaTheme="minorEastAsia"/>
          <w:color w:val="auto"/>
          <w:szCs w:val="21"/>
          <w:highlight w:val="none"/>
        </w:rPr>
        <w:t>等主流芯片厂商的认证材料、与麒麟、统信</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LINUX</w:t>
      </w:r>
      <w:r>
        <w:rPr>
          <w:rFonts w:hint="eastAsia" w:cs="仿宋_GB2312" w:asciiTheme="minorEastAsia" w:hAnsiTheme="minorEastAsia" w:eastAsiaTheme="minorEastAsia"/>
          <w:color w:val="auto"/>
          <w:szCs w:val="21"/>
          <w:highlight w:val="none"/>
        </w:rPr>
        <w:t>主流操作系统厂商的认证材料、与东方通、宝蓝德等主流中间件厂商的认证材料、与</w:t>
      </w:r>
      <w:r>
        <w:rPr>
          <w:rFonts w:hint="eastAsia" w:cs="仿宋_GB2312" w:asciiTheme="minorEastAsia" w:hAnsiTheme="minorEastAsia" w:eastAsiaTheme="minorEastAsia"/>
          <w:color w:val="auto"/>
          <w:szCs w:val="21"/>
          <w:highlight w:val="none"/>
          <w:lang w:val="en-US" w:eastAsia="zh-CN"/>
        </w:rPr>
        <w:t>国产数据库主流供应商</w:t>
      </w:r>
      <w:r>
        <w:rPr>
          <w:rFonts w:hint="eastAsia" w:cs="仿宋_GB2312" w:asciiTheme="minorEastAsia" w:hAnsiTheme="minorEastAsia" w:eastAsiaTheme="minorEastAsia"/>
          <w:color w:val="auto"/>
          <w:szCs w:val="21"/>
          <w:highlight w:val="none"/>
        </w:rPr>
        <w:t>的认证材料。</w:t>
      </w:r>
    </w:p>
    <w:p>
      <w:pPr>
        <w:numPr>
          <w:ilvl w:val="0"/>
          <w:numId w:val="2"/>
        </w:numPr>
        <w:spacing w:line="360" w:lineRule="auto"/>
        <w:ind w:firstLine="420" w:firstLineChars="200"/>
        <w:rPr>
          <w:rFonts w:hint="default"/>
          <w:highlight w:val="none"/>
          <w:lang w:val="en-US" w:eastAsia="zh-CN"/>
        </w:rPr>
      </w:pPr>
      <w:r>
        <w:rPr>
          <w:rFonts w:hint="eastAsia" w:cs="仿宋_GB2312" w:asciiTheme="minorEastAsia" w:hAnsiTheme="minorEastAsia" w:eastAsiaTheme="minorEastAsia"/>
          <w:color w:val="auto"/>
          <w:szCs w:val="21"/>
          <w:highlight w:val="none"/>
        </w:rPr>
        <w:t>供应商按以下要求提供产品</w:t>
      </w:r>
      <w:r>
        <w:rPr>
          <w:rFonts w:hint="eastAsia" w:cs="仿宋_GB2312" w:asciiTheme="minorEastAsia" w:hAnsiTheme="minorEastAsia" w:eastAsiaTheme="minorEastAsia"/>
          <w:color w:val="auto"/>
          <w:szCs w:val="21"/>
          <w:highlight w:val="none"/>
          <w:lang w:val="en-US" w:eastAsia="zh-CN"/>
        </w:rPr>
        <w:t>的银行业</w:t>
      </w:r>
      <w:r>
        <w:rPr>
          <w:rFonts w:hint="eastAsia" w:cs="仿宋_GB2312" w:asciiTheme="minorEastAsia" w:hAnsiTheme="minorEastAsia" w:eastAsiaTheme="minorEastAsia"/>
          <w:color w:val="auto"/>
          <w:szCs w:val="21"/>
          <w:highlight w:val="none"/>
        </w:rPr>
        <w:t>建设案例业绩</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并满足以下所有条件：</w:t>
      </w:r>
    </w:p>
    <w:p>
      <w:pPr>
        <w:spacing w:line="360" w:lineRule="auto"/>
        <w:ind w:left="420" w:firstLine="420" w:firstLineChars="20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1</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案例时间要求：20</w:t>
      </w:r>
      <w:r>
        <w:rPr>
          <w:rFonts w:hint="eastAsia" w:cs="仿宋_GB2312" w:asciiTheme="minorEastAsia" w:hAnsiTheme="minorEastAsia"/>
          <w:color w:val="auto"/>
          <w:szCs w:val="21"/>
          <w:highlight w:val="none"/>
          <w:lang w:val="en-US" w:eastAsia="zh-CN"/>
        </w:rPr>
        <w:t>21</w:t>
      </w:r>
      <w:r>
        <w:rPr>
          <w:rFonts w:hint="eastAsia" w:cs="仿宋_GB2312" w:asciiTheme="minorEastAsia" w:hAnsiTheme="minorEastAsia" w:eastAsiaTheme="minorEastAsia"/>
          <w:color w:val="auto"/>
          <w:szCs w:val="21"/>
          <w:highlight w:val="none"/>
          <w:lang w:val="en-US" w:eastAsia="zh-CN"/>
        </w:rPr>
        <w:t>年</w:t>
      </w:r>
      <w:r>
        <w:rPr>
          <w:rFonts w:hint="eastAsia" w:cs="仿宋_GB2312" w:asciiTheme="minorEastAsia" w:hAnsiTheme="minorEastAsia" w:eastAsiaTheme="minorEastAsia"/>
          <w:color w:val="auto"/>
          <w:szCs w:val="21"/>
          <w:highlight w:val="none"/>
          <w:lang w:val="en-US" w:eastAsia="zh-CN"/>
        </w:rPr>
        <w:t>1月1日之后签订，并</w:t>
      </w:r>
      <w:r>
        <w:rPr>
          <w:rFonts w:hint="eastAsia" w:cs="仿宋_GB2312" w:asciiTheme="minorEastAsia" w:hAnsiTheme="minorEastAsia" w:eastAsiaTheme="minorEastAsia"/>
          <w:color w:val="auto"/>
          <w:szCs w:val="21"/>
          <w:highlight w:val="none"/>
        </w:rPr>
        <w:t>截止202</w:t>
      </w:r>
      <w:r>
        <w:rPr>
          <w:rFonts w:hint="eastAsia" w:cs="仿宋_GB2312" w:asciiTheme="minorEastAsia" w:hAnsiTheme="minorEastAsia"/>
          <w:color w:val="auto"/>
          <w:szCs w:val="21"/>
          <w:highlight w:val="none"/>
          <w:lang w:val="en-US" w:eastAsia="zh-CN"/>
        </w:rPr>
        <w:t>6</w:t>
      </w:r>
      <w:r>
        <w:rPr>
          <w:rFonts w:hint="eastAsia" w:cs="仿宋_GB2312" w:asciiTheme="minorEastAsia" w:hAnsiTheme="minorEastAsia" w:eastAsiaTheme="minorEastAsia"/>
          <w:color w:val="auto"/>
          <w:szCs w:val="21"/>
          <w:highlight w:val="none"/>
        </w:rPr>
        <w:t>年</w:t>
      </w:r>
      <w:r>
        <w:rPr>
          <w:rFonts w:hint="eastAsia" w:cs="仿宋_GB2312" w:asciiTheme="minorEastAsia" w:hAnsiTheme="minorEastAsia"/>
          <w:color w:val="auto"/>
          <w:szCs w:val="21"/>
          <w:highlight w:val="none"/>
          <w:lang w:val="en-US" w:eastAsia="zh-CN"/>
        </w:rPr>
        <w:t>3</w:t>
      </w:r>
      <w:r>
        <w:rPr>
          <w:rFonts w:hint="eastAsia" w:cs="仿宋_GB2312" w:asciiTheme="minorEastAsia" w:hAnsiTheme="minorEastAsia" w:eastAsiaTheme="minorEastAsia"/>
          <w:color w:val="auto"/>
          <w:szCs w:val="21"/>
          <w:highlight w:val="none"/>
        </w:rPr>
        <w:t>月</w:t>
      </w:r>
      <w:r>
        <w:rPr>
          <w:rFonts w:hint="eastAsia" w:cs="仿宋_GB2312" w:asciiTheme="minorEastAsia" w:hAnsiTheme="minorEastAsia" w:eastAsiaTheme="minorEastAsia"/>
          <w:color w:val="auto"/>
          <w:szCs w:val="21"/>
          <w:highlight w:val="none"/>
        </w:rPr>
        <w:t>前成功投产。</w:t>
      </w:r>
    </w:p>
    <w:p>
      <w:pPr>
        <w:spacing w:line="360" w:lineRule="auto"/>
        <w:ind w:left="420" w:firstLine="420" w:firstLineChars="200"/>
        <w:rPr>
          <w:rFonts w:hint="eastAsia" w:cs="仿宋_GB2312" w:asciiTheme="minorEastAsia" w:hAnsiTheme="minorEastAsia" w:eastAsiaTheme="minorEastAsia"/>
          <w:strike w:val="0"/>
          <w:dstrike w:val="0"/>
          <w:color w:val="auto"/>
          <w:szCs w:val="21"/>
          <w:highlight w:val="none"/>
          <w:lang w:val="en-US" w:eastAsia="zh-CN"/>
        </w:rPr>
      </w:pPr>
      <w:r>
        <w:rPr>
          <w:rFonts w:hint="eastAsia" w:cs="仿宋_GB2312" w:asciiTheme="minorEastAsia" w:hAnsiTheme="minorEastAsia" w:eastAsiaTheme="minorEastAsia"/>
          <w:strike w:val="0"/>
          <w:dstrike w:val="0"/>
          <w:color w:val="auto"/>
          <w:szCs w:val="21"/>
          <w:highlight w:val="none"/>
          <w:lang w:val="en-US" w:eastAsia="zh-CN"/>
        </w:rPr>
        <w:t>（2）案例建设方规模要求：建设方银行</w:t>
      </w:r>
      <w:r>
        <w:rPr>
          <w:rFonts w:hint="eastAsia" w:cs="仿宋_GB2312" w:asciiTheme="minorEastAsia" w:hAnsiTheme="minorEastAsia" w:eastAsiaTheme="minorEastAsia"/>
          <w:strike w:val="0"/>
          <w:dstrike w:val="0"/>
          <w:color w:val="auto"/>
          <w:szCs w:val="21"/>
          <w:highlight w:val="none"/>
          <w:lang w:val="en-US" w:eastAsia="zh-CN"/>
        </w:rPr>
        <w:t>2025年</w:t>
      </w:r>
      <w:r>
        <w:rPr>
          <w:rFonts w:hint="eastAsia" w:cs="仿宋_GB2312" w:asciiTheme="minorEastAsia" w:hAnsiTheme="minorEastAsia" w:eastAsiaTheme="minorEastAsia"/>
          <w:strike w:val="0"/>
          <w:dstrike w:val="0"/>
          <w:color w:val="auto"/>
          <w:szCs w:val="21"/>
          <w:highlight w:val="none"/>
          <w:lang w:val="en-US" w:eastAsia="zh-CN"/>
        </w:rPr>
        <w:t>资产规模不得低于2000亿。</w:t>
      </w:r>
    </w:p>
    <w:p>
      <w:pPr>
        <w:spacing w:line="360" w:lineRule="auto"/>
        <w:ind w:left="420" w:firstLine="420" w:firstLineChars="200"/>
        <w:rPr>
          <w:rFonts w:hint="eastAsia"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eastAsiaTheme="minorEastAsia"/>
          <w:color w:val="auto"/>
          <w:szCs w:val="21"/>
          <w:highlight w:val="none"/>
          <w:lang w:val="en-US" w:eastAsia="zh-CN"/>
        </w:rPr>
        <w:t>（3）案例数量要求：</w:t>
      </w:r>
      <w:r>
        <w:rPr>
          <w:rFonts w:hint="eastAsia" w:cs="仿宋_GB2312" w:asciiTheme="minorEastAsia" w:hAnsiTheme="minorEastAsia" w:eastAsiaTheme="minorEastAsia"/>
          <w:color w:val="auto"/>
          <w:szCs w:val="21"/>
          <w:highlight w:val="none"/>
        </w:rPr>
        <w:t>至少有</w:t>
      </w:r>
      <w:r>
        <w:rPr>
          <w:rFonts w:hint="eastAsia" w:cs="仿宋_GB2312" w:asciiTheme="minorEastAsia" w:hAnsiTheme="minorEastAsia" w:eastAsiaTheme="minorEastAsia"/>
          <w:color w:val="auto"/>
          <w:szCs w:val="21"/>
          <w:highlight w:val="none"/>
        </w:rPr>
        <w:t>3个与国内银行</w:t>
      </w:r>
      <w:r>
        <w:rPr>
          <w:rFonts w:hint="eastAsia" w:cs="仿宋_GB2312" w:asciiTheme="minorEastAsia" w:hAnsiTheme="minorEastAsia" w:eastAsiaTheme="minorEastAsia"/>
          <w:strike w:val="0"/>
          <w:dstrike w:val="0"/>
          <w:color w:val="auto"/>
          <w:szCs w:val="21"/>
          <w:highlight w:val="none"/>
          <w:lang w:val="en-US" w:eastAsia="zh-CN"/>
        </w:rPr>
        <w:t>直接</w:t>
      </w:r>
      <w:r>
        <w:rPr>
          <w:rFonts w:hint="eastAsia" w:cs="仿宋_GB2312" w:asciiTheme="minorEastAsia" w:hAnsiTheme="minorEastAsia" w:eastAsiaTheme="minorEastAsia"/>
          <w:color w:val="auto"/>
          <w:szCs w:val="21"/>
          <w:highlight w:val="none"/>
          <w:lang w:val="en-US" w:eastAsia="zh-CN"/>
        </w:rPr>
        <w:t>签订的</w:t>
      </w:r>
      <w:r>
        <w:rPr>
          <w:rFonts w:hint="eastAsia" w:cs="仿宋_GB2312" w:asciiTheme="minorEastAsia" w:hAnsiTheme="minorEastAsia"/>
          <w:color w:val="auto"/>
          <w:szCs w:val="21"/>
          <w:highlight w:val="none"/>
          <w:lang w:val="en-US" w:eastAsia="zh-CN"/>
        </w:rPr>
        <w:t>WPS文档中台相关</w:t>
      </w:r>
      <w:r>
        <w:rPr>
          <w:rFonts w:hint="eastAsia" w:cs="仿宋_GB2312" w:asciiTheme="minorEastAsia" w:hAnsiTheme="minorEastAsia" w:eastAsiaTheme="minorEastAsia"/>
          <w:color w:val="auto"/>
          <w:szCs w:val="21"/>
          <w:highlight w:val="none"/>
          <w:lang w:val="en-US" w:eastAsia="zh-CN"/>
        </w:rPr>
        <w:t>实施案例。</w:t>
      </w:r>
    </w:p>
    <w:p>
      <w:pPr>
        <w:spacing w:line="360" w:lineRule="auto"/>
        <w:ind w:left="420" w:firstLine="420" w:firstLineChars="200"/>
        <w:rPr>
          <w:rFonts w:hint="eastAsia"/>
          <w:highlight w:val="none"/>
          <w:lang w:val="en-US" w:eastAsia="zh-CN"/>
        </w:rPr>
      </w:pPr>
      <w:r>
        <w:rPr>
          <w:rFonts w:hint="eastAsia" w:cs="仿宋_GB2312" w:asciiTheme="minorEastAsia" w:hAnsiTheme="minorEastAsia" w:eastAsiaTheme="minorEastAsia"/>
          <w:color w:val="auto"/>
          <w:szCs w:val="21"/>
          <w:highlight w:val="none"/>
          <w:lang w:val="en-US" w:eastAsia="zh-CN"/>
        </w:rPr>
        <w:t>（4）其他要求：案例业绩需要包含整体技术平台更换以及全部业务功能、流程重塑，不包含常规的人力外包服务或局部的功能、技术拓展。</w:t>
      </w:r>
    </w:p>
    <w:p>
      <w:pPr>
        <w:numPr>
          <w:ilvl w:val="0"/>
          <w:numId w:val="2"/>
        </w:numPr>
        <w:spacing w:line="360" w:lineRule="auto"/>
        <w:ind w:firstLine="420" w:firstLineChars="200"/>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color w:val="auto"/>
          <w:szCs w:val="21"/>
          <w:highlight w:val="none"/>
        </w:rPr>
        <w:t>上述相关证明材料在递交反馈</w:t>
      </w:r>
      <w:r>
        <w:rPr>
          <w:rFonts w:hint="eastAsia" w:cs="仿宋_GB2312" w:asciiTheme="minorEastAsia" w:hAnsiTheme="minorEastAsia" w:eastAsiaTheme="minorEastAsia"/>
          <w:b/>
          <w:bCs/>
          <w:color w:val="auto"/>
          <w:szCs w:val="21"/>
          <w:highlight w:val="none"/>
        </w:rPr>
        <w:t>《东莞农村商业银行</w:t>
      </w:r>
      <w:r>
        <w:rPr>
          <w:rFonts w:hint="eastAsia" w:cs="仿宋_GB2312" w:asciiTheme="minorEastAsia" w:hAnsiTheme="minorEastAsia"/>
          <w:b/>
          <w:bCs/>
          <w:color w:val="auto"/>
          <w:szCs w:val="21"/>
          <w:highlight w:val="none"/>
          <w:lang w:val="en-US" w:eastAsia="zh-CN"/>
        </w:rPr>
        <w:t>文档服务系统</w:t>
      </w:r>
      <w:r>
        <w:rPr>
          <w:rFonts w:hint="eastAsia" w:cs="仿宋_GB2312" w:asciiTheme="minorEastAsia" w:hAnsiTheme="minorEastAsia" w:eastAsiaTheme="minorEastAsia"/>
          <w:b/>
          <w:bCs/>
          <w:color w:val="auto"/>
          <w:szCs w:val="21"/>
          <w:highlight w:val="none"/>
          <w:lang w:val="en-US" w:eastAsia="zh-CN"/>
        </w:rPr>
        <w:t>建设</w:t>
      </w:r>
      <w:r>
        <w:rPr>
          <w:rFonts w:hint="eastAsia" w:cs="仿宋_GB2312" w:asciiTheme="minorEastAsia" w:hAnsiTheme="minorEastAsia" w:eastAsiaTheme="minorEastAsia"/>
          <w:b/>
          <w:bCs/>
          <w:color w:val="auto"/>
          <w:szCs w:val="21"/>
          <w:highlight w:val="none"/>
        </w:rPr>
        <w:t>项目市场调研记录表》</w:t>
      </w:r>
      <w:r>
        <w:rPr>
          <w:rFonts w:hint="eastAsia" w:cs="仿宋_GB2312" w:asciiTheme="minorEastAsia" w:hAnsiTheme="minorEastAsia" w:eastAsiaTheme="minorEastAsia"/>
          <w:color w:val="auto"/>
          <w:szCs w:val="21"/>
          <w:highlight w:val="none"/>
        </w:rPr>
        <w:t>时应提供上述相关证明材料的复印件加盖供应商公章的扫描件。</w:t>
      </w:r>
    </w:p>
    <w:p>
      <w:pPr>
        <w:numPr>
          <w:ilvl w:val="0"/>
          <w:numId w:val="2"/>
        </w:numPr>
        <w:spacing w:line="360" w:lineRule="auto"/>
        <w:ind w:firstLine="420" w:firstLineChars="200"/>
        <w:rPr>
          <w:color w:val="auto"/>
          <w:highlight w:val="none"/>
        </w:rPr>
      </w:pPr>
      <w:r>
        <w:rPr>
          <w:rFonts w:hint="eastAsia" w:ascii="宋体" w:hAnsi="宋体" w:eastAsia="宋体" w:cs="宋体"/>
          <w:b w:val="0"/>
          <w:kern w:val="2"/>
          <w:sz w:val="21"/>
          <w:szCs w:val="21"/>
          <w:highlight w:val="none"/>
          <w:lang w:val="en-US" w:eastAsia="zh-CN" w:bidi="ar-SA"/>
        </w:rPr>
        <w:t>至报名截止当天，供应商</w:t>
      </w:r>
      <w:r>
        <w:rPr>
          <w:rFonts w:hint="eastAsia" w:ascii="宋体" w:hAnsi="宋体" w:eastAsia="宋体" w:cs="宋体"/>
          <w:b w:val="0"/>
          <w:kern w:val="2"/>
          <w:sz w:val="21"/>
          <w:szCs w:val="21"/>
          <w:highlight w:val="none"/>
          <w:lang w:val="zh-CN" w:eastAsia="zh-CN" w:bidi="ar-SA"/>
        </w:rPr>
        <w:t>未被列入</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信用中国</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网站</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"http://www.creditchina.gov.cn)"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en-US" w:eastAsia="zh-CN" w:bidi="ar-SA"/>
        </w:rPr>
        <w:t>www.creditchina.gov.cn)“</w:t>
      </w:r>
      <w:r>
        <w:rPr>
          <w:rFonts w:hint="eastAsia" w:ascii="宋体" w:hAnsi="宋体" w:eastAsia="宋体" w:cs="宋体"/>
          <w:b w:val="0"/>
          <w:kern w:val="2"/>
          <w:sz w:val="21"/>
          <w:szCs w:val="21"/>
          <w:highlight w:val="none"/>
          <w:lang w:val="zh-CN" w:eastAsia="zh-CN" w:bidi="ar-SA"/>
        </w:rPr>
        <w:t>记录失信被执行人或重</w:t>
      </w:r>
      <w:r>
        <w:rPr>
          <w:rFonts w:hint="eastAsia" w:ascii="宋体" w:hAnsi="宋体" w:eastAsia="宋体" w:cs="宋体"/>
          <w:b w:val="0"/>
          <w:kern w:val="2"/>
          <w:sz w:val="21"/>
          <w:szCs w:val="21"/>
          <w:highlight w:val="none"/>
          <w:lang w:val="zh-CN" w:eastAsia="zh-CN" w:bidi="ar-SA"/>
        </w:rPr>
        <w:fldChar w:fldCharType="end"/>
      </w:r>
      <w:r>
        <w:rPr>
          <w:rFonts w:hint="eastAsia" w:ascii="宋体" w:hAnsi="宋体" w:eastAsia="宋体" w:cs="宋体"/>
          <w:b w:val="0"/>
          <w:kern w:val="2"/>
          <w:sz w:val="21"/>
          <w:szCs w:val="21"/>
          <w:highlight w:val="none"/>
          <w:lang w:val="zh-CN" w:eastAsia="zh-CN" w:bidi="ar-SA"/>
        </w:rPr>
        <w:t>大税收违法案件当事人名单或政府采购严重违法失信名单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记录名单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不处于中国政府采购网</w:t>
      </w:r>
      <w:r>
        <w:rPr>
          <w:rFonts w:hint="eastAsia" w:ascii="宋体" w:hAnsi="宋体" w:eastAsia="宋体" w:cs="宋体"/>
          <w:b w:val="0"/>
          <w:kern w:val="2"/>
          <w:sz w:val="21"/>
          <w:szCs w:val="21"/>
          <w:highlight w:val="none"/>
          <w:lang w:val="en-US" w:eastAsia="zh-CN" w:bidi="ar-SA"/>
        </w:rPr>
        <w:t>(www.ccgp.gov.cn)“</w:t>
      </w:r>
      <w:r>
        <w:rPr>
          <w:rFonts w:hint="eastAsia" w:ascii="宋体" w:hAnsi="宋体" w:eastAsia="宋体" w:cs="宋体"/>
          <w:b w:val="0"/>
          <w:kern w:val="2"/>
          <w:sz w:val="21"/>
          <w:szCs w:val="21"/>
          <w:highlight w:val="none"/>
          <w:lang w:val="zh-CN" w:eastAsia="zh-CN" w:bidi="ar-SA"/>
        </w:rPr>
        <w:t>政府采购严重违法失信行为信息记录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中的禁止参加政府采购活动期间</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处罚限届满的除外</w:t>
      </w:r>
      <w:r>
        <w:rPr>
          <w:rFonts w:hint="eastAsia" w:ascii="宋体" w:hAnsi="宋体" w:eastAsia="宋体" w:cs="宋体"/>
          <w:b w:val="0"/>
          <w:kern w:val="2"/>
          <w:sz w:val="21"/>
          <w:szCs w:val="21"/>
          <w:highlight w:val="none"/>
          <w:lang w:val="en-US" w:eastAsia="zh-CN" w:bidi="ar-SA"/>
        </w:rPr>
        <w:t>）</w:t>
      </w:r>
      <w:bookmarkStart w:id="0" w:name="_GoBack"/>
      <w:bookmarkEnd w:id="0"/>
      <w:r>
        <w:rPr>
          <w:rFonts w:hint="eastAsia" w:cs="仿宋_GB2312" w:asciiTheme="minorEastAsia" w:hAnsiTheme="minorEastAsia" w:eastAsiaTheme="minorEastAsia"/>
          <w:color w:val="auto"/>
          <w:szCs w:val="21"/>
          <w:highlight w:val="none"/>
          <w:lang w:val="en-US" w:eastAsia="zh-CN"/>
        </w:rPr>
        <w:t>。</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附件：</w:t>
      </w:r>
    </w:p>
    <w:p>
      <w:pPr>
        <w:tabs>
          <w:tab w:val="left" w:pos="0"/>
        </w:tabs>
        <w:spacing w:line="360" w:lineRule="auto"/>
        <w:ind w:firstLine="420" w:firstLineChars="200"/>
        <w:outlineLvl w:val="1"/>
        <w:rPr>
          <w:rFonts w:hint="default" w:ascii="宋体" w:hAnsi="宋体" w:cs="宋体"/>
          <w:b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1.</w:t>
      </w:r>
      <w:r>
        <w:rPr>
          <w:rFonts w:hint="eastAsia" w:cs="仿宋_GB2312" w:asciiTheme="minorEastAsia" w:hAnsiTheme="minorEastAsia" w:eastAsiaTheme="minorEastAsia"/>
          <w:b w:val="0"/>
          <w:bCs w:val="0"/>
          <w:color w:val="auto"/>
          <w:szCs w:val="21"/>
          <w:highlight w:val="none"/>
        </w:rPr>
        <w:t>东莞农村商业银行</w:t>
      </w:r>
      <w:r>
        <w:rPr>
          <w:rFonts w:hint="eastAsia" w:cs="仿宋_GB2312" w:asciiTheme="minorEastAsia" w:hAnsiTheme="minorEastAsia"/>
          <w:b w:val="0"/>
          <w:bCs w:val="0"/>
          <w:color w:val="auto"/>
          <w:szCs w:val="21"/>
          <w:highlight w:val="none"/>
          <w:lang w:val="en-US" w:eastAsia="zh-CN"/>
        </w:rPr>
        <w:t>文档服务系统</w:t>
      </w:r>
      <w:r>
        <w:rPr>
          <w:rFonts w:hint="eastAsia" w:cs="仿宋_GB2312" w:asciiTheme="minorEastAsia" w:hAnsiTheme="minorEastAsia" w:eastAsiaTheme="minorEastAsia"/>
          <w:b w:val="0"/>
          <w:bCs w:val="0"/>
          <w:color w:val="auto"/>
          <w:szCs w:val="21"/>
          <w:highlight w:val="none"/>
          <w:lang w:val="en-US" w:eastAsia="zh-CN"/>
        </w:rPr>
        <w:t>建设</w:t>
      </w:r>
      <w:r>
        <w:rPr>
          <w:rFonts w:hint="eastAsia" w:cs="仿宋_GB2312" w:asciiTheme="minorEastAsia" w:hAnsiTheme="minorEastAsia" w:eastAsiaTheme="minorEastAsia"/>
          <w:b w:val="0"/>
          <w:bCs w:val="0"/>
          <w:color w:val="auto"/>
          <w:szCs w:val="21"/>
          <w:highlight w:val="none"/>
        </w:rPr>
        <w:t>项目</w:t>
      </w:r>
      <w:r>
        <w:rPr>
          <w:rFonts w:hint="eastAsia" w:cs="仿宋_GB2312" w:asciiTheme="minorEastAsia" w:hAnsiTheme="minorEastAsia"/>
          <w:b w:val="0"/>
          <w:bCs w:val="0"/>
          <w:color w:val="auto"/>
          <w:szCs w:val="21"/>
          <w:highlight w:val="none"/>
          <w:lang w:val="en-US" w:eastAsia="zh-CN"/>
        </w:rPr>
        <w:t>市场</w:t>
      </w:r>
      <w:r>
        <w:rPr>
          <w:rFonts w:hint="eastAsia" w:ascii="宋体" w:hAnsi="宋体" w:cs="宋体"/>
          <w:b w:val="0"/>
          <w:bCs w:val="0"/>
          <w:kern w:val="2"/>
          <w:sz w:val="21"/>
          <w:szCs w:val="21"/>
          <w:highlight w:val="none"/>
          <w:lang w:val="en-US" w:eastAsia="zh-CN" w:bidi="ar-SA"/>
        </w:rPr>
        <w:t xml:space="preserve">调研表-xxx公司   </w:t>
      </w:r>
      <w:r>
        <w:rPr>
          <w:rFonts w:hint="eastAsia" w:ascii="宋体" w:hAnsi="宋体" w:cs="宋体"/>
          <w:b w:val="0"/>
          <w:kern w:val="2"/>
          <w:sz w:val="21"/>
          <w:szCs w:val="21"/>
          <w:highlight w:val="none"/>
          <w:lang w:val="en-US" w:eastAsia="zh-CN" w:bidi="ar-SA"/>
        </w:rPr>
        <w:t xml:space="preserve">  </w:t>
      </w:r>
    </w:p>
    <w:p>
      <w:pPr>
        <w:tabs>
          <w:tab w:val="left" w:pos="0"/>
        </w:tabs>
        <w:spacing w:line="360" w:lineRule="auto"/>
        <w:ind w:firstLine="420" w:firstLineChars="200"/>
        <w:outlineLvl w:val="1"/>
        <w:rPr>
          <w:rFonts w:hint="default"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2.</w:t>
      </w:r>
      <w:r>
        <w:rPr>
          <w:rFonts w:hint="default" w:ascii="宋体" w:hAnsi="宋体" w:cs="宋体"/>
          <w:b w:val="0"/>
          <w:kern w:val="2"/>
          <w:sz w:val="21"/>
          <w:szCs w:val="21"/>
          <w:highlight w:val="none"/>
          <w:lang w:val="en-US" w:eastAsia="zh-CN" w:bidi="ar-SA"/>
        </w:rPr>
        <w:t>公司基本情况介绍-xxx公司</w:t>
      </w:r>
      <w:r>
        <w:rPr>
          <w:rFonts w:hint="eastAsia" w:ascii="宋体" w:hAnsi="宋体" w:cs="宋体"/>
          <w:b w:val="0"/>
          <w:kern w:val="2"/>
          <w:sz w:val="21"/>
          <w:szCs w:val="21"/>
          <w:highlight w:val="none"/>
          <w:lang w:val="en-US" w:eastAsia="zh-CN" w:bidi="ar-SA"/>
        </w:rPr>
        <w:t xml:space="preserve"> </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550A4"/>
    <w:multiLevelType w:val="singleLevel"/>
    <w:tmpl w:val="8F4550A4"/>
    <w:lvl w:ilvl="0" w:tentative="0">
      <w:start w:val="1"/>
      <w:numFmt w:val="decimal"/>
      <w:lvlText w:val="%1."/>
      <w:lvlJc w:val="left"/>
      <w:pPr>
        <w:tabs>
          <w:tab w:val="left" w:pos="0"/>
        </w:tabs>
        <w:ind w:left="0" w:firstLine="0"/>
      </w:pPr>
    </w:lvl>
  </w:abstractNum>
  <w:abstractNum w:abstractNumId="1">
    <w:nsid w:val="F3DEBA44"/>
    <w:multiLevelType w:val="singleLevel"/>
    <w:tmpl w:val="F3DEBA44"/>
    <w:lvl w:ilvl="0" w:tentative="0">
      <w:start w:val="1"/>
      <w:numFmt w:val="decimal"/>
      <w:lvlText w:val="%1."/>
      <w:lvlJc w:val="left"/>
      <w:pPr>
        <w:tabs>
          <w:tab w:val="left" w:pos="0"/>
        </w:tabs>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84707"/>
    <w:rsid w:val="02357EF4"/>
    <w:rsid w:val="025172D3"/>
    <w:rsid w:val="03373CAA"/>
    <w:rsid w:val="05054A98"/>
    <w:rsid w:val="061E0361"/>
    <w:rsid w:val="09D61B19"/>
    <w:rsid w:val="0C76282D"/>
    <w:rsid w:val="0D340A79"/>
    <w:rsid w:val="0E372223"/>
    <w:rsid w:val="0E604700"/>
    <w:rsid w:val="114C7F8B"/>
    <w:rsid w:val="11DA10DC"/>
    <w:rsid w:val="12C93C86"/>
    <w:rsid w:val="16D71D22"/>
    <w:rsid w:val="16E81A9A"/>
    <w:rsid w:val="17411DF1"/>
    <w:rsid w:val="198B3B37"/>
    <w:rsid w:val="19D26960"/>
    <w:rsid w:val="19E47D4D"/>
    <w:rsid w:val="1B4646C4"/>
    <w:rsid w:val="1D0467E7"/>
    <w:rsid w:val="1DAF3419"/>
    <w:rsid w:val="1F7A749D"/>
    <w:rsid w:val="20B85C7F"/>
    <w:rsid w:val="222F734B"/>
    <w:rsid w:val="241F12E7"/>
    <w:rsid w:val="248753CF"/>
    <w:rsid w:val="26D45D6F"/>
    <w:rsid w:val="27DE2DD2"/>
    <w:rsid w:val="29D34EE6"/>
    <w:rsid w:val="2A715E00"/>
    <w:rsid w:val="2E7C0E4C"/>
    <w:rsid w:val="2F491019"/>
    <w:rsid w:val="34140F53"/>
    <w:rsid w:val="341558EE"/>
    <w:rsid w:val="35ED4B63"/>
    <w:rsid w:val="3D044E0B"/>
    <w:rsid w:val="3DB22FEB"/>
    <w:rsid w:val="3FC41B76"/>
    <w:rsid w:val="40847118"/>
    <w:rsid w:val="43554A44"/>
    <w:rsid w:val="44122DE4"/>
    <w:rsid w:val="44EE054D"/>
    <w:rsid w:val="45392A30"/>
    <w:rsid w:val="459902CF"/>
    <w:rsid w:val="4762139A"/>
    <w:rsid w:val="49496FBF"/>
    <w:rsid w:val="4A7E1BE4"/>
    <w:rsid w:val="4DA41327"/>
    <w:rsid w:val="500D73C8"/>
    <w:rsid w:val="5A5F4E79"/>
    <w:rsid w:val="5AF710EA"/>
    <w:rsid w:val="5AFF7F38"/>
    <w:rsid w:val="5C236231"/>
    <w:rsid w:val="5C385D7C"/>
    <w:rsid w:val="5FBC36B5"/>
    <w:rsid w:val="61E05679"/>
    <w:rsid w:val="62954A61"/>
    <w:rsid w:val="63C906B6"/>
    <w:rsid w:val="65F5642F"/>
    <w:rsid w:val="67255537"/>
    <w:rsid w:val="67AE0473"/>
    <w:rsid w:val="68104F26"/>
    <w:rsid w:val="6C214692"/>
    <w:rsid w:val="6C4C1491"/>
    <w:rsid w:val="6C8F5E5E"/>
    <w:rsid w:val="6E4842E0"/>
    <w:rsid w:val="70FD48BB"/>
    <w:rsid w:val="75482292"/>
    <w:rsid w:val="78E52CDF"/>
    <w:rsid w:val="79F4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rPr>
  </w:style>
  <w:style w:type="paragraph" w:styleId="3">
    <w:name w:val="Normal Indent"/>
    <w:basedOn w:val="1"/>
    <w:unhideWhenUsed/>
    <w:qFormat/>
    <w:uiPriority w:val="0"/>
    <w:pPr>
      <w:ind w:firstLine="420" w:firstLineChars="200"/>
    </w:pPr>
    <w:rPr>
      <w:rFonts w:ascii="Calibri" w:hAnsi="Calibri"/>
    </w:rPr>
  </w:style>
  <w:style w:type="paragraph" w:styleId="4">
    <w:name w:val="Body Text"/>
    <w:basedOn w:val="1"/>
    <w:next w:val="1"/>
    <w:unhideWhenUsed/>
    <w:qFormat/>
    <w:uiPriority w:val="0"/>
    <w:pPr>
      <w:spacing w:line="360" w:lineRule="auto"/>
    </w:p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2024-04-09T01:32:00Z</dcterms:created>
  <dc:creator>id120279</dc:creator>
  <cp:lastModifiedBy>张晓彬</cp:lastModifiedBy>
  <dcterms:modified xsi:type="dcterms:W3CDTF">2026-06-02T07:16:33Z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35266DA40D7F45B482B3DA5683CA70E9</vt:lpwstr>
  </property>
</Properties>
</file>